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A46C11">
      <w:pPr>
        <w:pStyle w:val="Texto"/>
        <w:numPr>
          <w:ilvl w:val="0"/>
          <w:numId w:val="31"/>
        </w:numPr>
        <w:spacing w:after="0"/>
        <w:rPr>
          <w:rFonts w:ascii="Cambria" w:hAnsi="Cambria" w:cs="DIN Pro Regular"/>
          <w:sz w:val="20"/>
        </w:rPr>
      </w:pPr>
      <w:r w:rsidRPr="00E74E9B">
        <w:rPr>
          <w:rFonts w:ascii="Cambria" w:hAnsi="Cambria" w:cs="DIN Pro Regular"/>
          <w:sz w:val="20"/>
        </w:rPr>
        <w:t>Autorización e Historia</w:t>
      </w:r>
    </w:p>
    <w:p w14:paraId="35C9BBF3" w14:textId="4732DBB0" w:rsidR="00E74E9B" w:rsidRDefault="00E74E9B" w:rsidP="00A46C11">
      <w:pPr>
        <w:pStyle w:val="Texto"/>
        <w:spacing w:after="0"/>
        <w:ind w:left="720" w:firstLine="0"/>
        <w:rPr>
          <w:rFonts w:ascii="Cambria" w:hAnsi="Cambria" w:cs="DIN Pro Regular"/>
          <w:sz w:val="20"/>
        </w:rPr>
      </w:pPr>
      <w:r w:rsidRPr="00E74E9B">
        <w:rPr>
          <w:rFonts w:ascii="Cambria" w:hAnsi="Cambria" w:cs="DIN Pro Regular"/>
          <w:sz w:val="20"/>
        </w:rPr>
        <w:t>En apego a la normatividad establecida por el Consejo Nacional de Armonización Contable para la formulación de las notas a los Estados Financieros, a continuación</w:t>
      </w:r>
      <w:r w:rsidR="00A46C11">
        <w:rPr>
          <w:rFonts w:ascii="Cambria" w:hAnsi="Cambria" w:cs="DIN Pro Regular"/>
          <w:sz w:val="20"/>
        </w:rPr>
        <w:t>,</w:t>
      </w:r>
      <w:r w:rsidRPr="00E74E9B">
        <w:rPr>
          <w:rFonts w:ascii="Cambria" w:hAnsi="Cambria" w:cs="DIN Pro Regular"/>
          <w:sz w:val="20"/>
        </w:rPr>
        <w:t xml:space="preserve"> se puntualizan los principales cambios </w:t>
      </w:r>
      <w:r w:rsidR="00A46C11">
        <w:rPr>
          <w:rFonts w:ascii="Cambria" w:hAnsi="Cambria" w:cs="DIN Pro Regular"/>
          <w:sz w:val="20"/>
        </w:rPr>
        <w:t>en</w:t>
      </w:r>
      <w:r w:rsidRPr="00E74E9B">
        <w:rPr>
          <w:rFonts w:ascii="Cambria" w:hAnsi="Cambria" w:cs="DIN Pro Regular"/>
          <w:sz w:val="20"/>
        </w:rPr>
        <w:t xml:space="preserve"> la estructura de la Universidad Autónoma de Tamaulipas:</w:t>
      </w:r>
    </w:p>
    <w:p w14:paraId="3D3A568C" w14:textId="77777777" w:rsidR="00E74E9B" w:rsidRPr="00E74E9B" w:rsidRDefault="00E74E9B" w:rsidP="00E74E9B">
      <w:pPr>
        <w:pStyle w:val="Texto"/>
        <w:spacing w:after="0"/>
        <w:ind w:left="708" w:firstLine="0"/>
        <w:rPr>
          <w:rFonts w:ascii="Cambria" w:hAnsi="Cambria" w:cs="DIN Pro Regular"/>
          <w:sz w:val="20"/>
        </w:rPr>
      </w:pPr>
    </w:p>
    <w:p w14:paraId="173C30B9" w14:textId="56B1074B" w:rsidR="00E74E9B" w:rsidRDefault="00E74E9B" w:rsidP="00A46C11">
      <w:pPr>
        <w:pStyle w:val="Texto"/>
        <w:spacing w:after="0"/>
        <w:ind w:left="720" w:firstLine="0"/>
        <w:rPr>
          <w:rFonts w:ascii="Cambria" w:hAnsi="Cambria" w:cs="DIN Pro Regular"/>
          <w:bCs/>
          <w:sz w:val="20"/>
        </w:rPr>
      </w:pPr>
      <w:r w:rsidRPr="00E74E9B">
        <w:rPr>
          <w:rFonts w:ascii="Cambria" w:hAnsi="Cambria" w:cs="DIN Pro Regular"/>
          <w:bCs/>
          <w:sz w:val="20"/>
        </w:rPr>
        <w:t xml:space="preserve">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w:t>
      </w:r>
      <w:r w:rsidR="00A03F0F">
        <w:rPr>
          <w:rFonts w:ascii="Cambria" w:hAnsi="Cambria" w:cs="DIN Pro Regular"/>
          <w:bCs/>
          <w:sz w:val="20"/>
        </w:rPr>
        <w:t>septiembre</w:t>
      </w:r>
      <w:r w:rsidRPr="00E74E9B">
        <w:rPr>
          <w:rFonts w:ascii="Cambria" w:hAnsi="Cambria" w:cs="DIN Pro Regular"/>
          <w:bCs/>
          <w:sz w:val="20"/>
        </w:rPr>
        <w:t xml:space="preserve">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14A02458" w14:textId="77777777" w:rsidR="00967410" w:rsidRDefault="00967410"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77777777"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1BC2D9D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77777777"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274E75D6" w14:textId="77777777" w:rsidR="008B2F4F" w:rsidRPr="00E020BE" w:rsidRDefault="008B2F4F" w:rsidP="008B2F4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080B647E" w14:textId="7777777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77777777"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24CB47C3"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468EB480"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144307CC" w14:textId="77777777" w:rsidR="00DE020D" w:rsidRDefault="00DE020D" w:rsidP="00DE020D">
      <w:pPr>
        <w:spacing w:after="0" w:line="240" w:lineRule="auto"/>
        <w:ind w:left="720"/>
        <w:jc w:val="both"/>
        <w:rPr>
          <w:rFonts w:ascii="Cambria" w:eastAsia="Times New Roman" w:hAnsi="Cambria" w:cs="DIN Pro Regular"/>
          <w:sz w:val="20"/>
          <w:szCs w:val="20"/>
          <w:lang w:eastAsia="es-ES"/>
        </w:rPr>
      </w:pP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77777777"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90853DB"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967410">
        <w:rPr>
          <w:rFonts w:ascii="Cambria" w:hAnsi="Cambria" w:cs="DIN Pro Regular"/>
          <w:spacing w:val="-1"/>
          <w:sz w:val="20"/>
          <w:szCs w:val="20"/>
          <w:lang w:eastAsia="es-MX"/>
        </w:rPr>
        <w:t>3</w:t>
      </w:r>
      <w:r w:rsidRPr="00C37868">
        <w:rPr>
          <w:rFonts w:ascii="Cambria" w:hAnsi="Cambria" w:cs="DIN Pro Regular"/>
          <w:spacing w:val="-1"/>
          <w:sz w:val="20"/>
          <w:szCs w:val="20"/>
          <w:lang w:eastAsia="es-MX"/>
        </w:rPr>
        <w:t>.</w:t>
      </w:r>
    </w:p>
    <w:p w14:paraId="602E4128"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698675AB"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lastRenderedPageBreak/>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6A1E89C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3FDCD2EE" w14:textId="77777777" w:rsidR="005B55E5" w:rsidRPr="00C37868" w:rsidRDefault="005B55E5"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0EA079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33BB7B91" w14:textId="5FD4B56C" w:rsidR="003B08CC" w:rsidRPr="00D27C80" w:rsidRDefault="003B08CC" w:rsidP="003B08CC">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5732F9">
        <w:trPr>
          <w:trHeight w:val="262"/>
          <w:jc w:val="center"/>
        </w:trPr>
        <w:tc>
          <w:tcPr>
            <w:tcW w:w="4471" w:type="dxa"/>
            <w:shd w:val="clear" w:color="auto" w:fill="00426A"/>
            <w:vAlign w:val="center"/>
          </w:tcPr>
          <w:p w14:paraId="3A803397"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6347EE19"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59862D1E"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6BA72D1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33294BEA" w14:textId="5DF149B4" w:rsidR="00C8299A" w:rsidRPr="00E020BE" w:rsidRDefault="00C8299A"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Valor activado en el ejercicio de los bienes construidos por la entidad.</w:t>
      </w:r>
    </w:p>
    <w:p w14:paraId="7E7A669F" w14:textId="5BE1E49F"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3E2587EF" w14:textId="25C2948F" w:rsidR="003B08CC" w:rsidRDefault="00A37B69" w:rsidP="009376D8">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09B9EF8D" wp14:editId="4C3A6511">
            <wp:extent cx="5065664" cy="2243164"/>
            <wp:effectExtent l="0" t="0" r="1905" b="5080"/>
            <wp:docPr id="1552102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44" cy="2254270"/>
                    </a:xfrm>
                    <a:prstGeom prst="rect">
                      <a:avLst/>
                    </a:prstGeom>
                    <a:noFill/>
                    <a:ln>
                      <a:noFill/>
                    </a:ln>
                  </pic:spPr>
                </pic:pic>
              </a:graphicData>
            </a:graphic>
          </wp:inline>
        </w:drawing>
      </w:r>
    </w:p>
    <w:p w14:paraId="75A7403C" w14:textId="5A20EE99" w:rsidR="00BD4EEE" w:rsidRPr="00B82D9A"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lastRenderedPageBreak/>
        <w:t>Fideicomisos, Mandatos y Análogos.</w:t>
      </w:r>
    </w:p>
    <w:p w14:paraId="0C522740" w14:textId="77777777" w:rsidR="00051670" w:rsidRDefault="00051670" w:rsidP="00051670">
      <w:pPr>
        <w:spacing w:after="0" w:line="240" w:lineRule="auto"/>
        <w:jc w:val="both"/>
        <w:rPr>
          <w:rFonts w:ascii="Cambria" w:eastAsia="Times New Roman" w:hAnsi="Cambria" w:cs="DIN Pro Regular"/>
          <w:sz w:val="20"/>
          <w:szCs w:val="20"/>
          <w:lang w:eastAsia="es-ES"/>
        </w:rPr>
      </w:pPr>
    </w:p>
    <w:tbl>
      <w:tblPr>
        <w:tblW w:w="6799" w:type="dxa"/>
        <w:jc w:val="center"/>
        <w:tblCellMar>
          <w:left w:w="70" w:type="dxa"/>
          <w:right w:w="70" w:type="dxa"/>
        </w:tblCellMar>
        <w:tblLook w:val="04A0" w:firstRow="1" w:lastRow="0" w:firstColumn="1" w:lastColumn="0" w:noHBand="0" w:noVBand="1"/>
      </w:tblPr>
      <w:tblGrid>
        <w:gridCol w:w="3681"/>
        <w:gridCol w:w="1984"/>
        <w:gridCol w:w="1134"/>
      </w:tblGrid>
      <w:tr w:rsidR="00051670" w:rsidRPr="00051670" w14:paraId="4EA2862E" w14:textId="77777777" w:rsidTr="00201203">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84" w:type="dxa"/>
            <w:tcBorders>
              <w:top w:val="single" w:sz="4" w:space="0" w:color="auto"/>
              <w:left w:val="nil"/>
              <w:bottom w:val="single" w:sz="4" w:space="0" w:color="auto"/>
              <w:right w:val="single" w:sz="4" w:space="0" w:color="auto"/>
            </w:tcBorders>
            <w:shd w:val="clear" w:color="auto" w:fill="00426A"/>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51670" w14:paraId="11214E86"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0011</w:t>
            </w:r>
          </w:p>
        </w:tc>
      </w:tr>
      <w:tr w:rsidR="00051670" w:rsidRPr="00051670" w14:paraId="48CF1F5C"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E22F3" w14:textId="4DA6FE1C"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01FADEE"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2A603B49" w14:textId="762C6C1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1448</w:t>
            </w:r>
          </w:p>
        </w:tc>
      </w:tr>
      <w:tr w:rsidR="00051670" w:rsidRPr="00051670" w14:paraId="6F1239C3"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2DCF8" w14:textId="37B95FE9"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6911</w:t>
            </w:r>
          </w:p>
        </w:tc>
      </w:tr>
      <w:tr w:rsidR="00051670" w:rsidRPr="00051670" w14:paraId="0E1A657B"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EEEA5" w14:textId="5DA12F5B"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3390</w:t>
            </w:r>
          </w:p>
        </w:tc>
      </w:tr>
      <w:tr w:rsidR="00051670" w:rsidRPr="00051670" w14:paraId="542F3FCA"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0561</w:t>
            </w:r>
          </w:p>
        </w:tc>
      </w:tr>
      <w:tr w:rsidR="00051670" w:rsidRPr="00051670" w14:paraId="1B28DEF0"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AF0838" w14:textId="782F0870"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5CDB0C0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6977E1" w14:textId="2C71561F"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2381</w:t>
            </w:r>
          </w:p>
        </w:tc>
      </w:tr>
      <w:tr w:rsidR="00051670" w:rsidRPr="00051670" w14:paraId="4B60FCEE"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D5BC2" w14:textId="7DD7CAAA"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w:t>
            </w:r>
            <w:r w:rsidR="004543A5" w:rsidRPr="00051670">
              <w:rPr>
                <w:rFonts w:ascii="Cambria" w:eastAsia="Times New Roman" w:hAnsi="Cambria" w:cs="Calibri"/>
                <w:color w:val="000000"/>
                <w:sz w:val="16"/>
                <w:szCs w:val="16"/>
                <w:lang w:eastAsia="es-MX"/>
              </w:rPr>
              <w:t>Atención</w:t>
            </w:r>
            <w:r w:rsidRPr="00051670">
              <w:rPr>
                <w:rFonts w:ascii="Cambria" w:eastAsia="Times New Roman" w:hAnsi="Cambria" w:cs="Calibri"/>
                <w:color w:val="000000"/>
                <w:sz w:val="16"/>
                <w:szCs w:val="16"/>
                <w:lang w:eastAsia="es-MX"/>
              </w:rPr>
              <w:t xml:space="preserve"> a Problemas Estructurales (Pensiones)</w:t>
            </w:r>
          </w:p>
        </w:tc>
        <w:tc>
          <w:tcPr>
            <w:tcW w:w="1984"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7054</w:t>
            </w:r>
          </w:p>
        </w:tc>
      </w:tr>
    </w:tbl>
    <w:p w14:paraId="4C77D3E5" w14:textId="77777777" w:rsidR="00051670" w:rsidRPr="00051670" w:rsidRDefault="00051670" w:rsidP="00051670">
      <w:pPr>
        <w:spacing w:after="0" w:line="240" w:lineRule="auto"/>
        <w:jc w:val="both"/>
        <w:rPr>
          <w:rFonts w:ascii="Cambria" w:eastAsia="Times New Roman" w:hAnsi="Cambria" w:cs="DIN Pro Regular"/>
          <w:sz w:val="20"/>
          <w:szCs w:val="20"/>
          <w:lang w:eastAsia="es-ES"/>
        </w:rPr>
      </w:pPr>
    </w:p>
    <w:p w14:paraId="2C58365C"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738F78EE"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B3372A" w:rsidRDefault="00BD4EEE" w:rsidP="00473307">
      <w:pPr>
        <w:pStyle w:val="Prrafodelista"/>
        <w:spacing w:before="80" w:after="0" w:line="250" w:lineRule="exact"/>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 xml:space="preserve">Análisis del comportamiento de la recaudación. </w:t>
      </w:r>
    </w:p>
    <w:p w14:paraId="3BE0F351" w14:textId="128894C4" w:rsidR="00BD4EEE" w:rsidRPr="00B3372A" w:rsidRDefault="00BD4EEE" w:rsidP="00D33645">
      <w:pPr>
        <w:pStyle w:val="Prrafodelista"/>
        <w:spacing w:before="80" w:after="0" w:line="250" w:lineRule="exact"/>
        <w:ind w:left="1416" w:hanging="696"/>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 xml:space="preserve">Al </w:t>
      </w:r>
      <w:r w:rsidR="00B7195D">
        <w:rPr>
          <w:rFonts w:ascii="Cambria" w:hAnsi="Cambria" w:cs="DIN Pro Regular"/>
          <w:spacing w:val="-1"/>
          <w:sz w:val="20"/>
          <w:szCs w:val="20"/>
          <w:lang w:eastAsia="es-MX"/>
        </w:rPr>
        <w:t>31 de diciembre</w:t>
      </w:r>
      <w:r w:rsidRPr="00B3372A">
        <w:rPr>
          <w:rFonts w:ascii="Cambria" w:hAnsi="Cambria" w:cs="DIN Pro Regular"/>
          <w:spacing w:val="-1"/>
          <w:sz w:val="20"/>
          <w:szCs w:val="20"/>
          <w:lang w:eastAsia="es-MX"/>
        </w:rPr>
        <w:t xml:space="preserve"> de 202</w:t>
      </w:r>
      <w:r w:rsidR="00967410" w:rsidRPr="00B3372A">
        <w:rPr>
          <w:rFonts w:ascii="Cambria" w:hAnsi="Cambria" w:cs="DIN Pro Regular"/>
          <w:spacing w:val="-1"/>
          <w:sz w:val="20"/>
          <w:szCs w:val="20"/>
          <w:lang w:eastAsia="es-MX"/>
        </w:rPr>
        <w:t>3</w:t>
      </w:r>
      <w:r w:rsidRPr="00B3372A">
        <w:rPr>
          <w:rFonts w:ascii="Cambria" w:hAnsi="Cambria" w:cs="DIN Pro Regular"/>
          <w:sz w:val="20"/>
          <w:szCs w:val="20"/>
        </w:rPr>
        <w:t xml:space="preserve"> </w:t>
      </w:r>
      <w:r w:rsidRPr="00B3372A">
        <w:rPr>
          <w:rFonts w:ascii="Cambria" w:hAnsi="Cambria" w:cs="DIN Pro Regular"/>
          <w:spacing w:val="-1"/>
          <w:sz w:val="20"/>
          <w:szCs w:val="20"/>
          <w:lang w:eastAsia="es-MX"/>
        </w:rPr>
        <w:t>se recaudó $</w:t>
      </w:r>
      <w:r w:rsidR="00DF03BA">
        <w:rPr>
          <w:rFonts w:ascii="Cambria" w:hAnsi="Cambria" w:cs="DIN Pro Regular"/>
          <w:spacing w:val="-1"/>
          <w:sz w:val="20"/>
          <w:szCs w:val="20"/>
          <w:lang w:eastAsia="es-MX"/>
        </w:rPr>
        <w:t>4</w:t>
      </w:r>
      <w:r w:rsidRPr="00B3372A">
        <w:rPr>
          <w:rFonts w:ascii="Cambria" w:hAnsi="Cambria" w:cs="DIN Pro Regular"/>
          <w:spacing w:val="-1"/>
          <w:sz w:val="20"/>
          <w:szCs w:val="20"/>
          <w:lang w:eastAsia="es-MX"/>
        </w:rPr>
        <w:t>,</w:t>
      </w:r>
      <w:r w:rsidR="00DF03BA">
        <w:rPr>
          <w:rFonts w:ascii="Cambria" w:hAnsi="Cambria" w:cs="DIN Pro Regular"/>
          <w:spacing w:val="-1"/>
          <w:sz w:val="20"/>
          <w:szCs w:val="20"/>
          <w:lang w:eastAsia="es-MX"/>
        </w:rPr>
        <w:t>688</w:t>
      </w:r>
      <w:r w:rsidRPr="00B3372A">
        <w:rPr>
          <w:rFonts w:ascii="Cambria" w:hAnsi="Cambria" w:cs="DIN Pro Regular"/>
          <w:spacing w:val="-1"/>
          <w:sz w:val="20"/>
          <w:szCs w:val="20"/>
          <w:lang w:eastAsia="es-MX"/>
        </w:rPr>
        <w:t>,</w:t>
      </w:r>
      <w:r w:rsidR="00D55711">
        <w:rPr>
          <w:rFonts w:ascii="Cambria" w:hAnsi="Cambria" w:cs="DIN Pro Regular"/>
          <w:spacing w:val="-1"/>
          <w:sz w:val="20"/>
          <w:szCs w:val="20"/>
          <w:lang w:eastAsia="es-MX"/>
        </w:rPr>
        <w:t>655</w:t>
      </w:r>
      <w:r w:rsidRPr="00B3372A">
        <w:rPr>
          <w:rFonts w:ascii="Cambria" w:hAnsi="Cambria" w:cs="DIN Pro Regular"/>
          <w:spacing w:val="-1"/>
          <w:sz w:val="20"/>
          <w:szCs w:val="20"/>
          <w:lang w:eastAsia="es-MX"/>
        </w:rPr>
        <w:t>,</w:t>
      </w:r>
      <w:r w:rsidR="00D55711">
        <w:rPr>
          <w:rFonts w:ascii="Cambria" w:hAnsi="Cambria" w:cs="DIN Pro Regular"/>
          <w:spacing w:val="-1"/>
          <w:sz w:val="20"/>
          <w:szCs w:val="20"/>
          <w:lang w:eastAsia="es-MX"/>
        </w:rPr>
        <w:t>3</w:t>
      </w:r>
      <w:r w:rsidR="00DF03BA">
        <w:rPr>
          <w:rFonts w:ascii="Cambria" w:hAnsi="Cambria" w:cs="DIN Pro Regular"/>
          <w:spacing w:val="-1"/>
          <w:sz w:val="20"/>
          <w:szCs w:val="20"/>
          <w:lang w:eastAsia="es-MX"/>
        </w:rPr>
        <w:t>10</w:t>
      </w:r>
      <w:r w:rsidRPr="00B3372A">
        <w:rPr>
          <w:rFonts w:ascii="Cambria" w:hAnsi="Cambria" w:cs="DIN Pro Regular"/>
          <w:spacing w:val="-1"/>
          <w:sz w:val="20"/>
          <w:szCs w:val="20"/>
          <w:lang w:eastAsia="es-MX"/>
        </w:rPr>
        <w:t xml:space="preserve"> pesos</w:t>
      </w:r>
    </w:p>
    <w:p w14:paraId="3FE32D7D" w14:textId="67313BC2" w:rsidR="00BD4EEE" w:rsidRDefault="00BD4EEE" w:rsidP="00473307">
      <w:pPr>
        <w:pStyle w:val="Prrafodelista"/>
        <w:spacing w:line="240" w:lineRule="auto"/>
        <w:jc w:val="both"/>
        <w:rPr>
          <w:rFonts w:ascii="Cambria" w:hAnsi="Cambria" w:cs="DIN Pro Regular"/>
          <w:sz w:val="20"/>
          <w:szCs w:val="20"/>
        </w:rPr>
      </w:pPr>
      <w:r w:rsidRPr="00B3372A">
        <w:rPr>
          <w:rFonts w:ascii="Cambria" w:hAnsi="Cambria" w:cs="DIN Pro Regular"/>
          <w:sz w:val="20"/>
          <w:szCs w:val="20"/>
        </w:rPr>
        <w:t xml:space="preserve">Para el ejercicio fiscal </w:t>
      </w:r>
      <w:r w:rsidR="00967410" w:rsidRPr="00B3372A">
        <w:rPr>
          <w:rFonts w:ascii="Cambria" w:hAnsi="Cambria" w:cs="DIN Pro Regular"/>
          <w:sz w:val="20"/>
          <w:szCs w:val="20"/>
        </w:rPr>
        <w:t>2023</w:t>
      </w:r>
      <w:r w:rsidRPr="00B3372A">
        <w:rPr>
          <w:rFonts w:ascii="Cambria" w:hAnsi="Cambria" w:cs="DIN Pro Regular"/>
          <w:sz w:val="20"/>
          <w:szCs w:val="20"/>
        </w:rPr>
        <w:t xml:space="preserve"> en el presupuesto de ingresos la Universidad Autónoma de Tamaulipas estimó recaudar $4,</w:t>
      </w:r>
      <w:r w:rsidR="00051670" w:rsidRPr="00B3372A">
        <w:rPr>
          <w:rFonts w:ascii="Cambria" w:hAnsi="Cambria" w:cs="DIN Pro Regular"/>
          <w:sz w:val="20"/>
          <w:szCs w:val="20"/>
        </w:rPr>
        <w:t>923</w:t>
      </w:r>
      <w:r w:rsidRPr="00B3372A">
        <w:rPr>
          <w:rFonts w:ascii="Cambria" w:hAnsi="Cambria" w:cs="DIN Pro Regular"/>
          <w:sz w:val="20"/>
          <w:szCs w:val="20"/>
        </w:rPr>
        <w:t>,</w:t>
      </w:r>
      <w:r w:rsidR="00051670" w:rsidRPr="00B3372A">
        <w:rPr>
          <w:rFonts w:ascii="Cambria" w:hAnsi="Cambria" w:cs="DIN Pro Regular"/>
          <w:sz w:val="20"/>
          <w:szCs w:val="20"/>
        </w:rPr>
        <w:t>860</w:t>
      </w:r>
      <w:r w:rsidRPr="00B3372A">
        <w:rPr>
          <w:rFonts w:ascii="Cambria" w:hAnsi="Cambria" w:cs="DIN Pro Regular"/>
          <w:sz w:val="20"/>
          <w:szCs w:val="20"/>
        </w:rPr>
        <w:t>,</w:t>
      </w:r>
      <w:r w:rsidR="00051670" w:rsidRPr="00B3372A">
        <w:rPr>
          <w:rFonts w:ascii="Cambria" w:hAnsi="Cambria" w:cs="DIN Pro Regular"/>
          <w:sz w:val="20"/>
          <w:szCs w:val="20"/>
        </w:rPr>
        <w:t>927</w:t>
      </w:r>
      <w:r w:rsidRPr="00B3372A">
        <w:rPr>
          <w:rFonts w:ascii="Cambria" w:hAnsi="Cambria" w:cs="DIN Pro Regular"/>
          <w:sz w:val="20"/>
          <w:szCs w:val="20"/>
        </w:rPr>
        <w:t xml:space="preserve"> pesos durante el ejercicio, al </w:t>
      </w:r>
      <w:r w:rsidR="00B7195D">
        <w:rPr>
          <w:rFonts w:ascii="Cambria" w:hAnsi="Cambria" w:cs="DIN Pro Regular"/>
          <w:sz w:val="20"/>
          <w:szCs w:val="20"/>
        </w:rPr>
        <w:t>31 de diciembre</w:t>
      </w:r>
      <w:r w:rsidRPr="00B3372A">
        <w:rPr>
          <w:rFonts w:ascii="Cambria" w:hAnsi="Cambria" w:cs="DIN Pro Regular"/>
          <w:sz w:val="20"/>
          <w:szCs w:val="20"/>
        </w:rPr>
        <w:t xml:space="preserve"> de </w:t>
      </w:r>
      <w:r w:rsidR="00967410" w:rsidRPr="00B3372A">
        <w:rPr>
          <w:rFonts w:ascii="Cambria" w:hAnsi="Cambria" w:cs="DIN Pro Regular"/>
          <w:sz w:val="20"/>
          <w:szCs w:val="20"/>
        </w:rPr>
        <w:t>2023</w:t>
      </w:r>
      <w:r w:rsidRPr="00B3372A">
        <w:rPr>
          <w:rFonts w:ascii="Cambria" w:hAnsi="Cambria" w:cs="DIN Pro Regular"/>
          <w:sz w:val="20"/>
          <w:szCs w:val="20"/>
        </w:rPr>
        <w:t xml:space="preserve"> los ingresos tuvieron una </w:t>
      </w:r>
      <w:r w:rsidR="00DF03BA">
        <w:rPr>
          <w:rFonts w:ascii="Cambria" w:hAnsi="Cambria" w:cs="DIN Pro Regular"/>
          <w:sz w:val="20"/>
          <w:szCs w:val="20"/>
        </w:rPr>
        <w:t>reducción</w:t>
      </w:r>
      <w:r w:rsidRPr="00B3372A">
        <w:rPr>
          <w:rFonts w:ascii="Cambria" w:hAnsi="Cambria" w:cs="DIN Pro Regular"/>
          <w:sz w:val="20"/>
          <w:szCs w:val="20"/>
        </w:rPr>
        <w:t xml:space="preserve"> por $</w:t>
      </w:r>
      <w:r w:rsidR="00D55711">
        <w:rPr>
          <w:rFonts w:ascii="Cambria" w:hAnsi="Cambria" w:cs="DIN Pro Regular"/>
          <w:sz w:val="20"/>
          <w:szCs w:val="20"/>
        </w:rPr>
        <w:t>234</w:t>
      </w:r>
      <w:r w:rsidRPr="00B3372A">
        <w:rPr>
          <w:rFonts w:ascii="Cambria" w:hAnsi="Cambria" w:cs="DIN Pro Regular"/>
          <w:sz w:val="20"/>
          <w:szCs w:val="20"/>
        </w:rPr>
        <w:t>,</w:t>
      </w:r>
      <w:r w:rsidR="00D55711">
        <w:rPr>
          <w:rFonts w:ascii="Cambria" w:hAnsi="Cambria" w:cs="DIN Pro Regular"/>
          <w:sz w:val="20"/>
          <w:szCs w:val="20"/>
        </w:rPr>
        <w:t>655</w:t>
      </w:r>
      <w:r w:rsidRPr="00B3372A">
        <w:rPr>
          <w:rFonts w:ascii="Cambria" w:hAnsi="Cambria" w:cs="DIN Pro Regular"/>
          <w:sz w:val="20"/>
          <w:szCs w:val="20"/>
        </w:rPr>
        <w:t>,</w:t>
      </w:r>
      <w:r w:rsidR="00D55711">
        <w:rPr>
          <w:rFonts w:ascii="Cambria" w:hAnsi="Cambria" w:cs="DIN Pro Regular"/>
          <w:sz w:val="20"/>
          <w:szCs w:val="20"/>
        </w:rPr>
        <w:t>717</w:t>
      </w:r>
      <w:r w:rsidRPr="00B3372A">
        <w:rPr>
          <w:rFonts w:ascii="Cambria" w:hAnsi="Cambria" w:cs="DIN Pro Regular"/>
          <w:sz w:val="20"/>
          <w:szCs w:val="20"/>
        </w:rPr>
        <w:t xml:space="preserve"> pesos.</w:t>
      </w:r>
    </w:p>
    <w:p w14:paraId="169934B8" w14:textId="77777777" w:rsidR="00473307" w:rsidRDefault="00473307" w:rsidP="00473307">
      <w:pPr>
        <w:pStyle w:val="Prrafodelista"/>
        <w:spacing w:line="240" w:lineRule="auto"/>
        <w:jc w:val="both"/>
        <w:rPr>
          <w:rFonts w:ascii="Cambria" w:hAnsi="Cambria" w:cs="DIN Pro Regular"/>
          <w:sz w:val="20"/>
          <w:szCs w:val="20"/>
        </w:rPr>
      </w:pP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4D6A609"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D3337C">
        <w:rPr>
          <w:rFonts w:ascii="Cambria" w:eastAsia="Times New Roman" w:hAnsi="Cambria" w:cs="DIN Pro Regular"/>
          <w:sz w:val="20"/>
          <w:szCs w:val="20"/>
          <w:lang w:eastAsia="es-ES"/>
        </w:rPr>
        <w:t>mxA</w:t>
      </w:r>
      <w:proofErr w:type="spellEnd"/>
      <w:r w:rsidRPr="00D3337C">
        <w:rPr>
          <w:rFonts w:ascii="Cambria" w:eastAsia="Times New Roman" w:hAnsi="Cambria" w:cs="DIN Pro Regular"/>
          <w:sz w:val="20"/>
          <w:szCs w:val="20"/>
          <w:lang w:eastAsia="es-ES"/>
        </w:rPr>
        <w:t>+(</w:t>
      </w:r>
      <w:proofErr w:type="spellStart"/>
      <w:r w:rsidRPr="00D3337C">
        <w:rPr>
          <w:rFonts w:ascii="Cambria" w:eastAsia="Times New Roman" w:hAnsi="Cambria" w:cs="DIN Pro Regular"/>
          <w:sz w:val="20"/>
          <w:szCs w:val="20"/>
          <w:lang w:eastAsia="es-ES"/>
        </w:rPr>
        <w:t>caVal</w:t>
      </w:r>
      <w:proofErr w:type="spellEnd"/>
      <w:r w:rsidRPr="00D3337C">
        <w:rPr>
          <w:rFonts w:ascii="Cambria" w:eastAsia="Times New Roman" w:hAnsi="Cambria" w:cs="DIN Pro Regular"/>
          <w:sz w:val="20"/>
          <w:szCs w:val="20"/>
          <w:lang w:eastAsia="es-ES"/>
        </w:rPr>
        <w:t>) Perspectiva Estable.</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3DD44A7B" w14:textId="77777777" w:rsidR="00967410" w:rsidRDefault="00967410"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7A35B2A" w14:textId="77777777" w:rsidR="00967410" w:rsidRDefault="00967410"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67A6843C"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0E1B358"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5162B4E6" w14:textId="77777777" w:rsidR="00967410" w:rsidRPr="00E020BE" w:rsidRDefault="00967410" w:rsidP="00BD4EEE">
      <w:pPr>
        <w:spacing w:after="0" w:line="240" w:lineRule="exact"/>
        <w:ind w:firstLine="288"/>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32EC9075"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1DAC8AF6"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066A66A"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3E4E120B" w14:textId="77777777" w:rsidR="00967410" w:rsidRPr="00473307" w:rsidRDefault="00967410"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0D11693E" w14:textId="77777777" w:rsidR="00BD4EEE" w:rsidRPr="00E020BE" w:rsidRDefault="00BD4EEE" w:rsidP="00BD4EEE">
      <w:pPr>
        <w:spacing w:after="0" w:line="240" w:lineRule="exact"/>
        <w:rPr>
          <w:rFonts w:ascii="Cambria" w:hAnsi="Cambria" w:cs="DIN Pro Regular"/>
          <w:sz w:val="20"/>
          <w:szCs w:val="20"/>
        </w:rPr>
      </w:pPr>
    </w:p>
    <w:p w14:paraId="6FFF1C1A" w14:textId="77777777" w:rsidR="00BD4EEE" w:rsidRPr="00E020BE" w:rsidRDefault="00BD4EEE" w:rsidP="00BD4EEE">
      <w:pPr>
        <w:spacing w:after="0" w:line="240" w:lineRule="exact"/>
        <w:rPr>
          <w:rFonts w:ascii="Cambria" w:hAnsi="Cambria" w:cs="DIN Pro Regular"/>
          <w:sz w:val="20"/>
          <w:szCs w:val="20"/>
        </w:rPr>
      </w:pPr>
    </w:p>
    <w:p w14:paraId="28E61492" w14:textId="77777777" w:rsidR="00BD4EEE" w:rsidRPr="00E020BE" w:rsidRDefault="00BD4EEE" w:rsidP="00BD4EEE">
      <w:pPr>
        <w:spacing w:after="0" w:line="240" w:lineRule="exact"/>
        <w:rPr>
          <w:rFonts w:ascii="Cambria" w:hAnsi="Cambria" w:cs="DIN Pro Regular"/>
          <w:sz w:val="20"/>
          <w:szCs w:val="20"/>
        </w:rPr>
      </w:pPr>
    </w:p>
    <w:p w14:paraId="1DAFFA16" w14:textId="77777777" w:rsidR="00BD4EEE" w:rsidRPr="00E020BE" w:rsidRDefault="00BD4EEE" w:rsidP="00BD4EEE">
      <w:pPr>
        <w:spacing w:after="0" w:line="240" w:lineRule="exact"/>
        <w:rPr>
          <w:rFonts w:ascii="Cambria" w:hAnsi="Cambria" w:cs="DIN Pro Regular"/>
          <w:sz w:val="20"/>
          <w:szCs w:val="20"/>
        </w:rPr>
      </w:pPr>
    </w:p>
    <w:p w14:paraId="0319D7B1" w14:textId="77777777" w:rsidR="00BD4EEE" w:rsidRDefault="00BD4EEE" w:rsidP="00BD4EEE">
      <w:pPr>
        <w:spacing w:after="0" w:line="240" w:lineRule="exact"/>
        <w:rPr>
          <w:rFonts w:ascii="DIN Pro Regular" w:hAnsi="DIN Pro Regular" w:cs="DIN Pro Regular"/>
          <w:sz w:val="20"/>
          <w:szCs w:val="20"/>
        </w:rPr>
      </w:pPr>
    </w:p>
    <w:p w14:paraId="11744F89" w14:textId="77777777" w:rsidR="00BD4EEE" w:rsidRDefault="00BD4EEE" w:rsidP="00BD4EEE">
      <w:pPr>
        <w:spacing w:after="0" w:line="240" w:lineRule="exact"/>
        <w:rPr>
          <w:rFonts w:ascii="DIN Pro Regular" w:hAnsi="DIN Pro Regular" w:cs="DIN Pro Regular"/>
          <w:sz w:val="20"/>
          <w:szCs w:val="20"/>
        </w:rPr>
      </w:pPr>
    </w:p>
    <w:p w14:paraId="361BF105" w14:textId="77777777" w:rsidR="00BD4EEE" w:rsidRDefault="00BD4EEE" w:rsidP="00BD4EEE">
      <w:pPr>
        <w:spacing w:after="0" w:line="240" w:lineRule="exact"/>
        <w:rPr>
          <w:rFonts w:ascii="DIN Pro Regular" w:hAnsi="DIN Pro Regular" w:cs="DIN Pro Regular"/>
          <w:sz w:val="20"/>
          <w:szCs w:val="20"/>
        </w:rPr>
      </w:pPr>
    </w:p>
    <w:p w14:paraId="68FA2AC6" w14:textId="77777777" w:rsidR="00BD4EEE" w:rsidRDefault="00BD4EEE" w:rsidP="00BD4EEE">
      <w:pPr>
        <w:spacing w:after="0" w:line="240" w:lineRule="exact"/>
        <w:rPr>
          <w:rFonts w:ascii="DIN Pro Regular" w:hAnsi="DIN Pro Regular" w:cs="DIN Pro Regular"/>
          <w:sz w:val="20"/>
          <w:szCs w:val="20"/>
        </w:rPr>
      </w:pPr>
    </w:p>
    <w:p w14:paraId="6047E597" w14:textId="77777777" w:rsidR="00BD4EEE" w:rsidRDefault="00BD4EEE" w:rsidP="00BD4EEE">
      <w:pPr>
        <w:spacing w:after="0" w:line="240" w:lineRule="exact"/>
        <w:rPr>
          <w:rFonts w:ascii="DIN Pro Regular" w:hAnsi="DIN Pro Regular" w:cs="DIN Pro Regular"/>
          <w:sz w:val="20"/>
          <w:szCs w:val="20"/>
        </w:rPr>
      </w:pPr>
    </w:p>
    <w:p w14:paraId="413FAEC4" w14:textId="77777777" w:rsidR="00BD4EEE" w:rsidRDefault="00BD4EEE" w:rsidP="00BD4EEE">
      <w:pPr>
        <w:spacing w:after="0" w:line="240" w:lineRule="exact"/>
        <w:rPr>
          <w:rFonts w:ascii="DIN Pro Regular" w:hAnsi="DIN Pro Regular" w:cs="DIN Pro Regular"/>
          <w:sz w:val="20"/>
          <w:szCs w:val="20"/>
        </w:rPr>
      </w:pPr>
    </w:p>
    <w:p w14:paraId="43207809" w14:textId="77777777" w:rsidR="00BD4EEE" w:rsidRDefault="00BD4EEE" w:rsidP="00BD4EEE">
      <w:pPr>
        <w:spacing w:after="0" w:line="240" w:lineRule="exact"/>
        <w:rPr>
          <w:rFonts w:ascii="DIN Pro Regular" w:hAnsi="DIN Pro Regular" w:cs="DIN Pro Regular"/>
          <w:sz w:val="20"/>
          <w:szCs w:val="20"/>
        </w:rPr>
      </w:pPr>
    </w:p>
    <w:p w14:paraId="4FA9BB26" w14:textId="77777777" w:rsidR="00BD4EEE" w:rsidRDefault="00BD4EEE" w:rsidP="00BD4EEE">
      <w:pPr>
        <w:spacing w:after="0" w:line="240" w:lineRule="exact"/>
        <w:rPr>
          <w:rFonts w:ascii="DIN Pro Regular" w:hAnsi="DIN Pro Regular" w:cs="DIN Pro Regular"/>
          <w:sz w:val="20"/>
          <w:szCs w:val="20"/>
        </w:rPr>
      </w:pPr>
    </w:p>
    <w:p w14:paraId="3D7D7E64" w14:textId="77777777" w:rsidR="00BD4EEE" w:rsidRDefault="00BD4EEE" w:rsidP="00BD4EEE">
      <w:pPr>
        <w:spacing w:after="0" w:line="240" w:lineRule="exact"/>
        <w:rPr>
          <w:rFonts w:ascii="DIN Pro Regular" w:hAnsi="DIN Pro Regular" w:cs="DIN Pro Regular"/>
          <w:sz w:val="20"/>
          <w:szCs w:val="20"/>
        </w:rPr>
      </w:pPr>
    </w:p>
    <w:p w14:paraId="12669726" w14:textId="77777777" w:rsidR="00BD4EEE" w:rsidRDefault="00BD4EEE" w:rsidP="00BD4EEE">
      <w:pPr>
        <w:spacing w:after="0" w:line="240" w:lineRule="exact"/>
        <w:rPr>
          <w:rFonts w:ascii="DIN Pro Regular" w:hAnsi="DIN Pro Regular" w:cs="DIN Pro Regular"/>
          <w:sz w:val="20"/>
          <w:szCs w:val="20"/>
        </w:rPr>
      </w:pPr>
    </w:p>
    <w:p w14:paraId="04C157F6" w14:textId="77777777" w:rsidR="00BD4EEE" w:rsidRDefault="00BD4EEE" w:rsidP="00BD4EEE">
      <w:pPr>
        <w:spacing w:after="0" w:line="240" w:lineRule="exact"/>
        <w:rPr>
          <w:rFonts w:ascii="DIN Pro Regular" w:hAnsi="DIN Pro Regular" w:cs="DIN Pro Regular"/>
          <w:sz w:val="20"/>
          <w:szCs w:val="20"/>
        </w:rPr>
      </w:pPr>
    </w:p>
    <w:p w14:paraId="085832F7" w14:textId="77777777" w:rsidR="00BD4EEE" w:rsidRDefault="00BD4EEE" w:rsidP="00BD4EEE">
      <w:pPr>
        <w:spacing w:after="0" w:line="240" w:lineRule="exact"/>
        <w:rPr>
          <w:rFonts w:ascii="DIN Pro Regular" w:hAnsi="DIN Pro Regular" w:cs="DIN Pro Regular"/>
          <w:sz w:val="20"/>
          <w:szCs w:val="20"/>
        </w:rPr>
      </w:pPr>
    </w:p>
    <w:p w14:paraId="3AA7E2DB" w14:textId="77777777" w:rsidR="00BD4EEE" w:rsidRDefault="00BD4EEE" w:rsidP="00BD4EEE">
      <w:pPr>
        <w:spacing w:after="0" w:line="240" w:lineRule="exact"/>
        <w:rPr>
          <w:rFonts w:ascii="DIN Pro Regular" w:hAnsi="DIN Pro Regular" w:cs="DIN Pro Regular"/>
          <w:sz w:val="20"/>
          <w:szCs w:val="20"/>
        </w:rPr>
      </w:pPr>
    </w:p>
    <w:p w14:paraId="55B6BD14" w14:textId="77777777" w:rsidR="00BD4EEE" w:rsidRDefault="00BD4EEE" w:rsidP="00BD4EEE">
      <w:pPr>
        <w:spacing w:after="0" w:line="240" w:lineRule="exact"/>
        <w:rPr>
          <w:rFonts w:ascii="DIN Pro Regular" w:hAnsi="DIN Pro Regular" w:cs="DIN Pro Regular"/>
          <w:sz w:val="20"/>
          <w:szCs w:val="20"/>
        </w:rPr>
      </w:pPr>
    </w:p>
    <w:p w14:paraId="5E809A15" w14:textId="77777777" w:rsidR="00BD4EEE" w:rsidRDefault="00BD4EEE" w:rsidP="00BD4EEE">
      <w:pPr>
        <w:spacing w:after="0" w:line="240" w:lineRule="exact"/>
        <w:rPr>
          <w:rFonts w:ascii="DIN Pro Regular" w:hAnsi="DIN Pro Regular" w:cs="DIN Pro Regular"/>
          <w:sz w:val="20"/>
          <w:szCs w:val="20"/>
        </w:rPr>
      </w:pPr>
    </w:p>
    <w:p w14:paraId="06A3EE1A" w14:textId="77777777" w:rsidR="00BD4EEE" w:rsidRDefault="00BD4EEE" w:rsidP="00BD4EEE">
      <w:pPr>
        <w:spacing w:after="0" w:line="240" w:lineRule="exact"/>
        <w:rPr>
          <w:rFonts w:ascii="DIN Pro Regular" w:hAnsi="DIN Pro Regular" w:cs="DIN Pro Regular"/>
          <w:sz w:val="20"/>
          <w:szCs w:val="20"/>
        </w:rPr>
      </w:pPr>
    </w:p>
    <w:p w14:paraId="59F20016" w14:textId="77777777" w:rsidR="00BD4EEE" w:rsidRDefault="00BD4EEE" w:rsidP="00BD4EEE">
      <w:pPr>
        <w:spacing w:after="0" w:line="240" w:lineRule="exact"/>
        <w:rPr>
          <w:rFonts w:ascii="DIN Pro Regular" w:hAnsi="DIN Pro Regular" w:cs="DIN Pro Regular"/>
          <w:sz w:val="20"/>
          <w:szCs w:val="20"/>
        </w:rPr>
      </w:pPr>
    </w:p>
    <w:p w14:paraId="33FA1F04" w14:textId="77777777" w:rsidR="00BD4EEE" w:rsidRDefault="00BD4EEE" w:rsidP="00BD4EEE">
      <w:pPr>
        <w:spacing w:after="0" w:line="240" w:lineRule="exact"/>
        <w:rPr>
          <w:rFonts w:ascii="DIN Pro Regular" w:hAnsi="DIN Pro Regular" w:cs="DIN Pro Regular"/>
          <w:sz w:val="20"/>
          <w:szCs w:val="20"/>
        </w:rPr>
      </w:pPr>
    </w:p>
    <w:p w14:paraId="1D8499D2" w14:textId="77777777" w:rsidR="00BD4EEE" w:rsidRDefault="00BD4EEE" w:rsidP="00BD4EEE">
      <w:pPr>
        <w:spacing w:after="0" w:line="240" w:lineRule="exact"/>
        <w:rPr>
          <w:rFonts w:ascii="DIN Pro Regular" w:hAnsi="DIN Pro Regular" w:cs="DIN Pro Regular"/>
          <w:sz w:val="20"/>
          <w:szCs w:val="20"/>
        </w:rPr>
      </w:pPr>
    </w:p>
    <w:p w14:paraId="030DDE11" w14:textId="77777777" w:rsidR="00BD4EEE" w:rsidRDefault="00BD4EEE" w:rsidP="00BD4EEE">
      <w:pPr>
        <w:spacing w:after="0" w:line="240" w:lineRule="exact"/>
        <w:rPr>
          <w:rFonts w:ascii="DIN Pro Regular" w:hAnsi="DIN Pro Regular" w:cs="DIN Pro Regular"/>
          <w:sz w:val="20"/>
          <w:szCs w:val="20"/>
        </w:rPr>
      </w:pPr>
    </w:p>
    <w:p w14:paraId="460CDE4F" w14:textId="77777777" w:rsidR="00BD4EEE" w:rsidRDefault="00BD4EEE" w:rsidP="00BD4EEE">
      <w:pPr>
        <w:spacing w:after="0" w:line="240" w:lineRule="exact"/>
        <w:rPr>
          <w:rFonts w:ascii="DIN Pro Regular" w:hAnsi="DIN Pro Regular" w:cs="DIN Pro Regular"/>
          <w:sz w:val="20"/>
          <w:szCs w:val="20"/>
        </w:rPr>
      </w:pPr>
    </w:p>
    <w:p w14:paraId="76B95603" w14:textId="77777777" w:rsidR="00BD4EEE" w:rsidRDefault="00BD4EEE" w:rsidP="00BD4EEE">
      <w:pPr>
        <w:spacing w:after="0" w:line="240" w:lineRule="exact"/>
        <w:rPr>
          <w:rFonts w:ascii="DIN Pro Regular" w:hAnsi="DIN Pro Regular" w:cs="DIN Pro Regular"/>
          <w:sz w:val="20"/>
          <w:szCs w:val="20"/>
        </w:rPr>
      </w:pPr>
    </w:p>
    <w:p w14:paraId="3F25B5B7" w14:textId="77777777" w:rsidR="00BD4EEE" w:rsidRDefault="00BD4EEE" w:rsidP="00BD4EEE">
      <w:pPr>
        <w:spacing w:after="0" w:line="240" w:lineRule="exact"/>
        <w:rPr>
          <w:rFonts w:ascii="DIN Pro Regular" w:hAnsi="DIN Pro Regular" w:cs="DIN Pro Regular"/>
          <w:sz w:val="20"/>
          <w:szCs w:val="20"/>
        </w:rPr>
      </w:pPr>
    </w:p>
    <w:p w14:paraId="24B8F471" w14:textId="77777777" w:rsidR="00BD4EEE" w:rsidRDefault="00BD4EEE" w:rsidP="00BD4EEE">
      <w:pPr>
        <w:spacing w:after="0" w:line="240" w:lineRule="exact"/>
        <w:rPr>
          <w:rFonts w:ascii="DIN Pro Regular" w:hAnsi="DIN Pro Regular" w:cs="DIN Pro Regular"/>
          <w:sz w:val="20"/>
          <w:szCs w:val="20"/>
        </w:rPr>
      </w:pPr>
    </w:p>
    <w:p w14:paraId="6686470D" w14:textId="77777777" w:rsidR="00BD4EEE" w:rsidRDefault="00BD4EEE" w:rsidP="00BD4EEE">
      <w:pPr>
        <w:spacing w:after="0" w:line="240" w:lineRule="exact"/>
        <w:rPr>
          <w:rFonts w:ascii="DIN Pro Regular" w:hAnsi="DIN Pro Regular" w:cs="DIN Pro Regular"/>
          <w:sz w:val="20"/>
          <w:szCs w:val="20"/>
        </w:rPr>
      </w:pPr>
    </w:p>
    <w:p w14:paraId="486099CF" w14:textId="77777777" w:rsidR="00BD4EEE" w:rsidRDefault="00BD4EEE" w:rsidP="00BD4EEE">
      <w:pPr>
        <w:spacing w:after="0" w:line="240" w:lineRule="exact"/>
        <w:rPr>
          <w:rFonts w:ascii="DIN Pro Regular" w:hAnsi="DIN Pro Regular" w:cs="DIN Pro Regular"/>
          <w:sz w:val="20"/>
          <w:szCs w:val="20"/>
        </w:rPr>
      </w:pPr>
    </w:p>
    <w:p w14:paraId="3CF97D1B" w14:textId="77777777" w:rsidR="00BD4EEE" w:rsidRDefault="00BD4EEE" w:rsidP="00BD4EEE">
      <w:pPr>
        <w:spacing w:after="0" w:line="240" w:lineRule="exact"/>
        <w:rPr>
          <w:rFonts w:ascii="DIN Pro Regular" w:hAnsi="DIN Pro Regular" w:cs="DIN Pro Regular"/>
          <w:sz w:val="20"/>
          <w:szCs w:val="20"/>
        </w:rPr>
      </w:pPr>
    </w:p>
    <w:p w14:paraId="4A4145A8" w14:textId="77777777" w:rsidR="00BD4EEE" w:rsidRDefault="00BD4EEE" w:rsidP="00BD4EEE">
      <w:pPr>
        <w:spacing w:after="0" w:line="240" w:lineRule="exact"/>
        <w:rPr>
          <w:rFonts w:ascii="DIN Pro Regular" w:hAnsi="DIN Pro Regular" w:cs="DIN Pro Regular"/>
          <w:sz w:val="20"/>
          <w:szCs w:val="20"/>
        </w:rPr>
      </w:pPr>
    </w:p>
    <w:p w14:paraId="451A177F" w14:textId="77777777" w:rsidR="00BD4EEE" w:rsidRDefault="00BD4EEE" w:rsidP="00BD4EEE">
      <w:pPr>
        <w:spacing w:after="0" w:line="240" w:lineRule="exact"/>
        <w:rPr>
          <w:rFonts w:ascii="DIN Pro Regular" w:hAnsi="DIN Pro Regular" w:cs="DIN Pro Regular"/>
          <w:sz w:val="20"/>
          <w:szCs w:val="20"/>
        </w:rPr>
      </w:pPr>
    </w:p>
    <w:p w14:paraId="15043855" w14:textId="77777777" w:rsidR="00BD4EEE" w:rsidRDefault="00BD4EEE" w:rsidP="00BD4EEE">
      <w:pPr>
        <w:spacing w:after="0" w:line="240" w:lineRule="exact"/>
        <w:rPr>
          <w:rFonts w:ascii="DIN Pro Regular" w:hAnsi="DIN Pro Regular" w:cs="DIN Pro Regular"/>
          <w:sz w:val="20"/>
          <w:szCs w:val="20"/>
        </w:rPr>
      </w:pPr>
    </w:p>
    <w:p w14:paraId="2BF03920" w14:textId="77777777" w:rsidR="00967410" w:rsidRDefault="00967410" w:rsidP="00BD4EEE">
      <w:pPr>
        <w:spacing w:after="0" w:line="240" w:lineRule="exact"/>
        <w:rPr>
          <w:rFonts w:ascii="DIN Pro Regular" w:hAnsi="DIN Pro Regular" w:cs="DIN Pro Regular"/>
          <w:sz w:val="20"/>
          <w:szCs w:val="20"/>
        </w:rPr>
      </w:pPr>
    </w:p>
    <w:p w14:paraId="5DF1DC82" w14:textId="77777777" w:rsidR="00BD4EEE" w:rsidRDefault="00BD4EEE" w:rsidP="00BD4EEE">
      <w:pPr>
        <w:spacing w:after="0" w:line="240" w:lineRule="exact"/>
        <w:rPr>
          <w:rFonts w:ascii="DIN Pro Regular" w:hAnsi="DIN Pro Regular" w:cs="DIN Pro Regular"/>
          <w:sz w:val="20"/>
          <w:szCs w:val="20"/>
        </w:rPr>
      </w:pPr>
    </w:p>
    <w:p w14:paraId="22A559F2" w14:textId="77777777" w:rsidR="00BD4EEE" w:rsidRDefault="00BD4EEE" w:rsidP="00BD4EEE">
      <w:pPr>
        <w:spacing w:after="0" w:line="240" w:lineRule="exact"/>
        <w:rPr>
          <w:rFonts w:ascii="DIN Pro Regular" w:hAnsi="DIN Pro Regular" w:cs="DIN Pro Regular"/>
          <w:sz w:val="20"/>
          <w:szCs w:val="20"/>
        </w:rPr>
      </w:pPr>
    </w:p>
    <w:p w14:paraId="3C784FE9" w14:textId="77777777" w:rsidR="00BD4EEE" w:rsidRDefault="00BD4EEE" w:rsidP="00BD4EEE">
      <w:pPr>
        <w:spacing w:after="0" w:line="240" w:lineRule="exact"/>
        <w:rPr>
          <w:rFonts w:ascii="DIN Pro Regular" w:hAnsi="DIN Pro Regular" w:cs="DIN Pro Regular"/>
          <w:sz w:val="20"/>
          <w:szCs w:val="20"/>
        </w:rPr>
      </w:pPr>
    </w:p>
    <w:p w14:paraId="6E9E83EB" w14:textId="77777777" w:rsidR="00BD4EEE" w:rsidRDefault="00BD4EEE" w:rsidP="00BD4EEE">
      <w:pPr>
        <w:spacing w:after="0" w:line="240" w:lineRule="exact"/>
        <w:rPr>
          <w:rFonts w:ascii="DIN Pro Regular" w:hAnsi="DIN Pro Regular" w:cs="DIN Pro Regular"/>
          <w:sz w:val="20"/>
          <w:szCs w:val="20"/>
        </w:rPr>
      </w:pPr>
    </w:p>
    <w:p w14:paraId="5237CC40" w14:textId="77777777" w:rsidR="00BD4EEE" w:rsidRPr="00D27C80" w:rsidRDefault="00BD4EEE" w:rsidP="00BD4EEE">
      <w:pPr>
        <w:spacing w:after="0" w:line="240" w:lineRule="exact"/>
        <w:rPr>
          <w:rFonts w:ascii="DIN Pro Regular" w:hAnsi="DIN Pro Regular" w:cs="DIN Pro Regular"/>
          <w:sz w:val="20"/>
          <w:szCs w:val="20"/>
        </w:rPr>
      </w:pPr>
    </w:p>
    <w:p w14:paraId="41A39315" w14:textId="77777777" w:rsidR="00BD4EEE" w:rsidRPr="00D27C80" w:rsidRDefault="00BD4EEE" w:rsidP="00BD4EEE">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BD4EEE" w:rsidRPr="00565F69" w14:paraId="6D420CFE" w14:textId="77777777" w:rsidTr="005732F9">
        <w:trPr>
          <w:trHeight w:val="183"/>
          <w:jc w:val="center"/>
        </w:trPr>
        <w:tc>
          <w:tcPr>
            <w:tcW w:w="3402"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5732F9">
        <w:trPr>
          <w:trHeight w:val="560"/>
          <w:jc w:val="center"/>
        </w:trPr>
        <w:tc>
          <w:tcPr>
            <w:tcW w:w="3402" w:type="dxa"/>
            <w:shd w:val="clear" w:color="auto" w:fill="auto"/>
          </w:tcPr>
          <w:p w14:paraId="19F95FD1" w14:textId="3994C14D" w:rsidR="00BD4EEE" w:rsidRDefault="00DF03BA" w:rsidP="005732F9">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DAMASO LEONARDO ANAYA ALVARADO</w:t>
            </w:r>
          </w:p>
          <w:p w14:paraId="0EDD8C00" w14:textId="77777777" w:rsidR="00BD4EEE" w:rsidRPr="00565F69"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450A2E1"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4858B80" w14:textId="77777777"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83" w:type="dxa"/>
            <w:shd w:val="clear" w:color="auto" w:fill="auto"/>
          </w:tcPr>
          <w:tbl>
            <w:tblPr>
              <w:tblW w:w="0" w:type="auto"/>
              <w:tblLook w:val="04A0" w:firstRow="1" w:lastRow="0" w:firstColumn="1" w:lastColumn="0" w:noHBand="0" w:noVBand="1"/>
            </w:tblPr>
            <w:tblGrid>
              <w:gridCol w:w="3395"/>
            </w:tblGrid>
            <w:tr w:rsidR="00BD4EEE" w:rsidRPr="00565F69" w14:paraId="40CD6BDF" w14:textId="77777777" w:rsidTr="005732F9">
              <w:trPr>
                <w:trHeight w:val="183"/>
              </w:trPr>
              <w:tc>
                <w:tcPr>
                  <w:tcW w:w="3395" w:type="dxa"/>
                  <w:shd w:val="clear" w:color="auto" w:fill="auto"/>
                </w:tcPr>
                <w:p w14:paraId="0B9A7D81" w14:textId="77777777"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BD4EEE" w:rsidRPr="00565F69" w14:paraId="34A4932A" w14:textId="77777777" w:rsidTr="005732F9">
              <w:trPr>
                <w:trHeight w:val="183"/>
              </w:trPr>
              <w:tc>
                <w:tcPr>
                  <w:tcW w:w="3395"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BD4EEE" w:rsidRPr="00565F69" w14:paraId="04A1ECE7" w14:textId="77777777" w:rsidTr="005732F9">
        <w:trPr>
          <w:trHeight w:val="192"/>
          <w:jc w:val="center"/>
        </w:trPr>
        <w:tc>
          <w:tcPr>
            <w:tcW w:w="3402"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552" w:type="dxa"/>
            <w:shd w:val="clear" w:color="auto" w:fill="auto"/>
          </w:tcPr>
          <w:p w14:paraId="0941FE7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3C0142CE"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FB3C11">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w:t>
      </w:r>
      <w:r w:rsidR="00FB3C11">
        <w:rPr>
          <w:rFonts w:ascii="Cambria" w:hAnsi="Cambria" w:cs="DIN Pro Regular"/>
          <w:spacing w:val="-1"/>
          <w:sz w:val="20"/>
          <w:szCs w:val="20"/>
          <w:lang w:eastAsia="es-MX"/>
        </w:rPr>
        <w:t>692</w:t>
      </w:r>
      <w:r w:rsidRPr="00E020BE">
        <w:rPr>
          <w:rFonts w:ascii="Cambria" w:hAnsi="Cambria" w:cs="DIN Pro Regular"/>
          <w:spacing w:val="-1"/>
          <w:sz w:val="20"/>
          <w:szCs w:val="20"/>
          <w:lang w:eastAsia="es-MX"/>
        </w:rPr>
        <w:t>,</w:t>
      </w:r>
      <w:r w:rsidR="0054721D">
        <w:rPr>
          <w:rFonts w:ascii="Cambria" w:hAnsi="Cambria" w:cs="DIN Pro Regular"/>
          <w:spacing w:val="-1"/>
          <w:sz w:val="20"/>
          <w:szCs w:val="20"/>
          <w:lang w:eastAsia="es-MX"/>
        </w:rPr>
        <w:t>385</w:t>
      </w:r>
      <w:r w:rsidRPr="00E020BE">
        <w:rPr>
          <w:rFonts w:ascii="Cambria" w:hAnsi="Cambria" w:cs="DIN Pro Regular"/>
          <w:spacing w:val="-1"/>
          <w:sz w:val="20"/>
          <w:szCs w:val="20"/>
          <w:lang w:eastAsia="es-MX"/>
        </w:rPr>
        <w:t>,</w:t>
      </w:r>
      <w:r w:rsidR="0054721D">
        <w:rPr>
          <w:rFonts w:ascii="Cambria" w:hAnsi="Cambria" w:cs="DIN Pro Regular"/>
          <w:spacing w:val="-1"/>
          <w:sz w:val="20"/>
          <w:szCs w:val="20"/>
          <w:lang w:eastAsia="es-MX"/>
        </w:rPr>
        <w:t>351</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representan el </w:t>
      </w:r>
      <w:r w:rsidR="008B63D6">
        <w:rPr>
          <w:rFonts w:ascii="Cambria" w:hAnsi="Cambria" w:cs="DIN Pro Regular"/>
          <w:spacing w:val="-1"/>
          <w:sz w:val="20"/>
          <w:szCs w:val="20"/>
          <w:lang w:eastAsia="es-MX"/>
        </w:rPr>
        <w:t>84</w:t>
      </w:r>
      <w:r w:rsidRPr="00E020BE">
        <w:rPr>
          <w:rFonts w:ascii="Cambria" w:hAnsi="Cambria" w:cs="DIN Pro Regular"/>
          <w:spacing w:val="-1"/>
          <w:sz w:val="20"/>
          <w:szCs w:val="20"/>
          <w:lang w:eastAsia="es-MX"/>
        </w:rPr>
        <w:t>.</w:t>
      </w:r>
      <w:r w:rsidR="008B63D6">
        <w:rPr>
          <w:rFonts w:ascii="Cambria" w:hAnsi="Cambria" w:cs="DIN Pro Regular"/>
          <w:spacing w:val="-1"/>
          <w:sz w:val="20"/>
          <w:szCs w:val="20"/>
          <w:lang w:eastAsia="es-MX"/>
        </w:rPr>
        <w:t>48</w:t>
      </w:r>
      <w:r w:rsidRPr="00E020BE">
        <w:rPr>
          <w:rFonts w:ascii="Cambria" w:hAnsi="Cambria" w:cs="DIN Pro Regular"/>
          <w:spacing w:val="-1"/>
          <w:sz w:val="20"/>
          <w:szCs w:val="20"/>
          <w:lang w:eastAsia="es-MX"/>
        </w:rPr>
        <w:t>% y en menor medida los derivados de Otros Ingresos y Beneficios, que se integran de la siguiente manera:</w:t>
      </w:r>
    </w:p>
    <w:p w14:paraId="6D5F92F5"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3356EF" w:rsidRPr="00001500" w14:paraId="5A6FBB05" w14:textId="77777777" w:rsidTr="005732F9">
        <w:trPr>
          <w:trHeight w:val="330"/>
          <w:jc w:val="center"/>
        </w:trPr>
        <w:tc>
          <w:tcPr>
            <w:tcW w:w="4243" w:type="dxa"/>
            <w:shd w:val="clear" w:color="auto" w:fill="00426A"/>
            <w:vAlign w:val="center"/>
            <w:hideMark/>
          </w:tcPr>
          <w:p w14:paraId="0695B872"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38D18F35"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3356EF" w:rsidRPr="00001500" w14:paraId="2D6DD9C2" w14:textId="77777777" w:rsidTr="005732F9">
        <w:trPr>
          <w:trHeight w:val="330"/>
          <w:jc w:val="center"/>
        </w:trPr>
        <w:tc>
          <w:tcPr>
            <w:tcW w:w="4243" w:type="dxa"/>
            <w:shd w:val="clear" w:color="auto" w:fill="auto"/>
            <w:vAlign w:val="center"/>
            <w:hideMark/>
          </w:tcPr>
          <w:p w14:paraId="0B6695B2"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9899032" w14:textId="20C509A9" w:rsidR="003356EF" w:rsidRPr="00001500" w:rsidRDefault="008B63D6"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385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811</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588</w:t>
            </w:r>
          </w:p>
        </w:tc>
      </w:tr>
      <w:tr w:rsidR="003356EF" w:rsidRPr="00001500" w14:paraId="659BBC25" w14:textId="77777777" w:rsidTr="005732F9">
        <w:trPr>
          <w:trHeight w:val="330"/>
          <w:jc w:val="center"/>
        </w:trPr>
        <w:tc>
          <w:tcPr>
            <w:tcW w:w="4243" w:type="dxa"/>
            <w:tcBorders>
              <w:bottom w:val="single" w:sz="4" w:space="0" w:color="auto"/>
            </w:tcBorders>
            <w:shd w:val="clear" w:color="auto" w:fill="auto"/>
            <w:vAlign w:val="center"/>
            <w:hideMark/>
          </w:tcPr>
          <w:p w14:paraId="6A47AA3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A5AB9EE" w14:textId="75E29192" w:rsidR="003356EF" w:rsidRPr="00001500" w:rsidRDefault="00CC1111"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w:t>
            </w:r>
            <w:r w:rsidR="003356EF"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964</w:t>
            </w:r>
            <w:r w:rsidR="003356EF"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174</w:t>
            </w:r>
            <w:r w:rsidR="003356EF" w:rsidRPr="00001500">
              <w:rPr>
                <w:rFonts w:ascii="Cambria" w:eastAsia="Times New Roman" w:hAnsi="Cambria" w:cs="Arial"/>
                <w:color w:val="000000"/>
                <w:sz w:val="16"/>
                <w:szCs w:val="16"/>
                <w:lang w:eastAsia="es-MX"/>
              </w:rPr>
              <w:t>,</w:t>
            </w:r>
            <w:r w:rsidR="0054721D">
              <w:rPr>
                <w:rFonts w:ascii="Cambria" w:eastAsia="Times New Roman" w:hAnsi="Cambria" w:cs="Arial"/>
                <w:color w:val="000000"/>
                <w:sz w:val="16"/>
                <w:szCs w:val="16"/>
                <w:lang w:eastAsia="es-MX"/>
              </w:rPr>
              <w:t>970</w:t>
            </w:r>
          </w:p>
        </w:tc>
      </w:tr>
      <w:tr w:rsidR="003356EF" w:rsidRPr="00001500" w14:paraId="4EC6E9CF" w14:textId="77777777" w:rsidTr="005732F9">
        <w:trPr>
          <w:trHeight w:val="330"/>
          <w:jc w:val="center"/>
        </w:trPr>
        <w:tc>
          <w:tcPr>
            <w:tcW w:w="4243" w:type="dxa"/>
            <w:tcBorders>
              <w:bottom w:val="single" w:sz="4" w:space="0" w:color="auto"/>
            </w:tcBorders>
            <w:shd w:val="clear" w:color="auto" w:fill="auto"/>
            <w:vAlign w:val="center"/>
            <w:hideMark/>
          </w:tcPr>
          <w:p w14:paraId="228DCBBB"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4CD9B2D" w14:textId="24C5ACF8"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4</w:t>
            </w:r>
            <w:r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349</w:t>
            </w:r>
            <w:r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986</w:t>
            </w:r>
            <w:r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55</w:t>
            </w:r>
            <w:r w:rsidR="0054721D">
              <w:rPr>
                <w:rFonts w:ascii="Cambria" w:eastAsia="Times New Roman" w:hAnsi="Cambria" w:cs="Arial"/>
                <w:color w:val="000000"/>
                <w:sz w:val="16"/>
                <w:szCs w:val="16"/>
                <w:lang w:eastAsia="es-MX"/>
              </w:rPr>
              <w:t>8</w:t>
            </w:r>
          </w:p>
        </w:tc>
      </w:tr>
      <w:tr w:rsidR="003356EF" w:rsidRPr="00001500" w14:paraId="04AC36A3" w14:textId="77777777" w:rsidTr="005732F9">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40048995" w14:textId="77777777" w:rsidR="003356EF" w:rsidRPr="00001500" w:rsidRDefault="003356EF" w:rsidP="005732F9">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091EFBBD" w14:textId="77777777" w:rsidR="003356EF" w:rsidRPr="00001500" w:rsidRDefault="003356EF" w:rsidP="005732F9">
            <w:pPr>
              <w:spacing w:after="0" w:line="240" w:lineRule="auto"/>
              <w:rPr>
                <w:rFonts w:ascii="Cambria" w:eastAsia="Times New Roman" w:hAnsi="Cambria"/>
                <w:sz w:val="16"/>
                <w:szCs w:val="16"/>
                <w:lang w:eastAsia="es-MX"/>
              </w:rPr>
            </w:pPr>
          </w:p>
        </w:tc>
      </w:tr>
      <w:tr w:rsidR="003356EF" w:rsidRPr="00001500" w14:paraId="28DCE157" w14:textId="77777777" w:rsidTr="005732F9">
        <w:trPr>
          <w:trHeight w:val="330"/>
          <w:jc w:val="center"/>
        </w:trPr>
        <w:tc>
          <w:tcPr>
            <w:tcW w:w="4243" w:type="dxa"/>
            <w:tcBorders>
              <w:top w:val="single" w:sz="4" w:space="0" w:color="auto"/>
            </w:tcBorders>
            <w:shd w:val="clear" w:color="auto" w:fill="auto"/>
            <w:vAlign w:val="center"/>
            <w:hideMark/>
          </w:tcPr>
          <w:p w14:paraId="5DB8CEC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5E2622C" w14:textId="3CBFEE6C" w:rsidR="003356EF" w:rsidRPr="00001500" w:rsidRDefault="008B63D6"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317</w:t>
            </w:r>
            <w:r w:rsidR="003356EF" w:rsidRPr="00001500">
              <w:rPr>
                <w:rFonts w:ascii="Cambria" w:eastAsia="Times New Roman" w:hAnsi="Cambria" w:cs="Arial"/>
                <w:color w:val="000000"/>
                <w:sz w:val="16"/>
                <w:szCs w:val="16"/>
                <w:lang w:eastAsia="es-MX"/>
              </w:rPr>
              <w:t>,</w:t>
            </w:r>
            <w:r w:rsidR="0054721D">
              <w:rPr>
                <w:rFonts w:ascii="Cambria" w:eastAsia="Times New Roman" w:hAnsi="Cambria" w:cs="Arial"/>
                <w:color w:val="000000"/>
                <w:sz w:val="16"/>
                <w:szCs w:val="16"/>
                <w:lang w:eastAsia="es-MX"/>
              </w:rPr>
              <w:t>629</w:t>
            </w:r>
            <w:r w:rsidR="003356EF" w:rsidRPr="00001500">
              <w:rPr>
                <w:rFonts w:ascii="Cambria" w:eastAsia="Times New Roman" w:hAnsi="Cambria" w:cs="Arial"/>
                <w:color w:val="000000"/>
                <w:sz w:val="16"/>
                <w:szCs w:val="16"/>
                <w:lang w:eastAsia="es-MX"/>
              </w:rPr>
              <w:t>,</w:t>
            </w:r>
            <w:r w:rsidR="0054721D">
              <w:rPr>
                <w:rFonts w:ascii="Cambria" w:eastAsia="Times New Roman" w:hAnsi="Cambria" w:cs="Arial"/>
                <w:color w:val="000000"/>
                <w:sz w:val="16"/>
                <w:szCs w:val="16"/>
                <w:lang w:eastAsia="es-MX"/>
              </w:rPr>
              <w:t>201</w:t>
            </w:r>
          </w:p>
        </w:tc>
      </w:tr>
      <w:tr w:rsidR="003356EF" w:rsidRPr="00001500" w14:paraId="289EABC1" w14:textId="77777777" w:rsidTr="005732F9">
        <w:trPr>
          <w:trHeight w:val="330"/>
          <w:jc w:val="center"/>
        </w:trPr>
        <w:tc>
          <w:tcPr>
            <w:tcW w:w="4243" w:type="dxa"/>
            <w:shd w:val="clear" w:color="auto" w:fill="auto"/>
            <w:vAlign w:val="center"/>
            <w:hideMark/>
          </w:tcPr>
          <w:p w14:paraId="3CBD98A7"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50961489" w14:textId="1A2B618E" w:rsidR="003356EF" w:rsidRPr="00001500" w:rsidRDefault="008B63D6"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24</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769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59</w:t>
            </w:r>
            <w:r w:rsidR="0054721D">
              <w:rPr>
                <w:rFonts w:ascii="Cambria" w:eastAsia="Times New Roman" w:hAnsi="Cambria" w:cs="Arial"/>
                <w:color w:val="000000"/>
                <w:sz w:val="16"/>
                <w:szCs w:val="16"/>
                <w:lang w:eastAsia="es-MX"/>
              </w:rPr>
              <w:t>2</w:t>
            </w:r>
          </w:p>
        </w:tc>
      </w:tr>
      <w:tr w:rsidR="003356EF" w:rsidRPr="00001500" w14:paraId="70AE0845" w14:textId="77777777" w:rsidTr="005732F9">
        <w:trPr>
          <w:trHeight w:val="330"/>
          <w:jc w:val="center"/>
        </w:trPr>
        <w:tc>
          <w:tcPr>
            <w:tcW w:w="4243" w:type="dxa"/>
            <w:shd w:val="clear" w:color="auto" w:fill="auto"/>
            <w:vAlign w:val="center"/>
            <w:hideMark/>
          </w:tcPr>
          <w:p w14:paraId="6A2FD8BD"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489AAB64" w14:textId="44722F8F"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8B63D6">
              <w:rPr>
                <w:rFonts w:ascii="Cambria" w:eastAsia="Times New Roman" w:hAnsi="Cambria" w:cs="Arial"/>
                <w:color w:val="000000"/>
                <w:sz w:val="16"/>
                <w:szCs w:val="16"/>
                <w:lang w:eastAsia="es-MX"/>
              </w:rPr>
              <w:t>342</w:t>
            </w:r>
            <w:r w:rsidRPr="00001500">
              <w:rPr>
                <w:rFonts w:ascii="Cambria" w:eastAsia="Times New Roman" w:hAnsi="Cambria" w:cs="Arial"/>
                <w:color w:val="000000"/>
                <w:sz w:val="16"/>
                <w:szCs w:val="16"/>
                <w:lang w:eastAsia="es-MX"/>
              </w:rPr>
              <w:t>,</w:t>
            </w:r>
            <w:r w:rsidR="0054721D">
              <w:rPr>
                <w:rFonts w:ascii="Cambria" w:eastAsia="Times New Roman" w:hAnsi="Cambria" w:cs="Arial"/>
                <w:color w:val="000000"/>
                <w:sz w:val="16"/>
                <w:szCs w:val="16"/>
                <w:lang w:eastAsia="es-MX"/>
              </w:rPr>
              <w:t>398</w:t>
            </w:r>
            <w:r w:rsidRPr="00001500">
              <w:rPr>
                <w:rFonts w:ascii="Cambria" w:eastAsia="Times New Roman" w:hAnsi="Cambria" w:cs="Arial"/>
                <w:color w:val="000000"/>
                <w:sz w:val="16"/>
                <w:szCs w:val="16"/>
                <w:lang w:eastAsia="es-MX"/>
              </w:rPr>
              <w:t>,</w:t>
            </w:r>
            <w:r w:rsidR="0054721D">
              <w:rPr>
                <w:rFonts w:ascii="Cambria" w:eastAsia="Times New Roman" w:hAnsi="Cambria" w:cs="Arial"/>
                <w:color w:val="000000"/>
                <w:sz w:val="16"/>
                <w:szCs w:val="16"/>
                <w:lang w:eastAsia="es-MX"/>
              </w:rPr>
              <w:t>7</w:t>
            </w:r>
            <w:r w:rsidR="008B63D6">
              <w:rPr>
                <w:rFonts w:ascii="Cambria" w:eastAsia="Times New Roman" w:hAnsi="Cambria" w:cs="Arial"/>
                <w:color w:val="000000"/>
                <w:sz w:val="16"/>
                <w:szCs w:val="16"/>
                <w:lang w:eastAsia="es-MX"/>
              </w:rPr>
              <w:t>93</w:t>
            </w:r>
          </w:p>
        </w:tc>
      </w:tr>
    </w:tbl>
    <w:p w14:paraId="5F80435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56A344D4" w14:textId="16C3C343" w:rsidR="003356EF" w:rsidRPr="00C166CD" w:rsidRDefault="003356EF" w:rsidP="003356EF">
      <w:pPr>
        <w:tabs>
          <w:tab w:val="left" w:pos="709"/>
        </w:tabs>
        <w:spacing w:after="0" w:line="240" w:lineRule="auto"/>
        <w:ind w:left="709"/>
        <w:jc w:val="both"/>
        <w:rPr>
          <w:rFonts w:ascii="Cambria" w:hAnsi="Cambria" w:cs="DIN Pro Regular"/>
          <w:spacing w:val="-1"/>
          <w:sz w:val="20"/>
          <w:szCs w:val="20"/>
          <w:lang w:eastAsia="es-MX"/>
        </w:rPr>
      </w:pPr>
      <w:r w:rsidRPr="00EB55E5">
        <w:rPr>
          <w:rFonts w:ascii="Cambria" w:hAnsi="Cambria" w:cs="DIN Pro Regular"/>
          <w:spacing w:val="-1"/>
          <w:sz w:val="20"/>
          <w:szCs w:val="20"/>
          <w:lang w:eastAsia="es-MX"/>
        </w:rPr>
        <w:t>Se hace la aclaración que la Universidad Autónoma de Tamaulipas reconoció $</w:t>
      </w:r>
      <w:r w:rsidR="00D77E53">
        <w:rPr>
          <w:rFonts w:ascii="Cambria" w:hAnsi="Cambria" w:cs="DIN Pro Regular"/>
          <w:spacing w:val="-1"/>
          <w:sz w:val="20"/>
          <w:szCs w:val="20"/>
          <w:lang w:eastAsia="es-MX"/>
        </w:rPr>
        <w:t>25</w:t>
      </w:r>
      <w:r w:rsidRPr="00EB55E5">
        <w:rPr>
          <w:rFonts w:ascii="Cambria" w:hAnsi="Cambria" w:cs="DIN Pro Regular"/>
          <w:spacing w:val="-1"/>
          <w:sz w:val="20"/>
          <w:szCs w:val="20"/>
          <w:lang w:eastAsia="es-MX"/>
        </w:rPr>
        <w:t>,</w:t>
      </w:r>
      <w:r w:rsidR="00D77E53">
        <w:rPr>
          <w:rFonts w:ascii="Cambria" w:hAnsi="Cambria" w:cs="DIN Pro Regular"/>
          <w:spacing w:val="-1"/>
          <w:sz w:val="20"/>
          <w:szCs w:val="20"/>
          <w:lang w:eastAsia="es-MX"/>
        </w:rPr>
        <w:t>779</w:t>
      </w:r>
      <w:r w:rsidRPr="00EB55E5">
        <w:rPr>
          <w:rFonts w:ascii="Cambria" w:hAnsi="Cambria" w:cs="DIN Pro Regular"/>
          <w:spacing w:val="-1"/>
          <w:sz w:val="20"/>
          <w:szCs w:val="20"/>
          <w:lang w:eastAsia="es-MX"/>
        </w:rPr>
        <w:t>,</w:t>
      </w:r>
      <w:r w:rsidR="00D77E53">
        <w:rPr>
          <w:rFonts w:ascii="Cambria" w:hAnsi="Cambria" w:cs="DIN Pro Regular"/>
          <w:spacing w:val="-1"/>
          <w:sz w:val="20"/>
          <w:szCs w:val="20"/>
          <w:lang w:eastAsia="es-MX"/>
        </w:rPr>
        <w:t>430</w:t>
      </w:r>
      <w:r w:rsidRPr="00EB55E5">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50946104" w14:textId="6AC36960" w:rsidR="003356EF" w:rsidRPr="00C166CD" w:rsidRDefault="00FD3B2B" w:rsidP="003356EF">
      <w:pPr>
        <w:spacing w:before="80" w:after="0" w:line="250" w:lineRule="exact"/>
        <w:ind w:left="709"/>
        <w:jc w:val="both"/>
        <w:rPr>
          <w:rFonts w:ascii="Cambria" w:hAnsi="Cambria" w:cs="DIN Pro Regular"/>
          <w:spacing w:val="-1"/>
          <w:sz w:val="20"/>
          <w:szCs w:val="20"/>
          <w:lang w:eastAsia="es-MX"/>
        </w:rPr>
      </w:pPr>
      <w:r>
        <w:rPr>
          <w:rFonts w:ascii="Cambria" w:hAnsi="Cambria" w:cs="DIN Pro Regular"/>
          <w:spacing w:val="-1"/>
          <w:sz w:val="20"/>
          <w:szCs w:val="20"/>
          <w:lang w:eastAsia="es-MX"/>
        </w:rPr>
        <w:t>En el rubro de participaciones y aportaciones existe una disminución que corresponde a reintegro a la Tesorería de la Federación (TESOFE) por la cantidad de $7,965.00 derivado del recurso PRODEP 2023 (Programa para el Desarrollo Profesional docente) de apoyo a profesores de tiempo completo con perfil deseable, debido a que dicho recurso no se ejerció por el profesor Mauricio Herrera Rodriguez por causar baja por renuncia. Lo anterior con base en el lineamiento 3.4.1.3 reintegros, tipo superior de las reglas de operación 2023 (RO2023) del programa.</w:t>
      </w:r>
    </w:p>
    <w:p w14:paraId="675AB4C9" w14:textId="77777777" w:rsidR="003356EF" w:rsidRPr="00E020BE" w:rsidRDefault="003356EF" w:rsidP="003356EF">
      <w:pPr>
        <w:spacing w:before="80" w:after="0" w:line="250" w:lineRule="exact"/>
        <w:ind w:left="709"/>
        <w:jc w:val="both"/>
        <w:rPr>
          <w:rFonts w:ascii="Cambria" w:hAnsi="Cambria" w:cs="DIN Pro Regular"/>
          <w:spacing w:val="-1"/>
          <w:sz w:val="20"/>
          <w:szCs w:val="20"/>
          <w:lang w:eastAsia="es-MX"/>
        </w:rPr>
      </w:pP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4A59EA4C"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DE58ED">
        <w:rPr>
          <w:rFonts w:ascii="Cambria" w:hAnsi="Cambria" w:cs="DIN Pro Regular"/>
          <w:spacing w:val="-1"/>
          <w:sz w:val="20"/>
          <w:szCs w:val="20"/>
          <w:lang w:eastAsia="es-MX"/>
        </w:rPr>
        <w:t>4</w:t>
      </w:r>
      <w:r w:rsidR="00901BF0">
        <w:rPr>
          <w:rFonts w:ascii="Cambria" w:hAnsi="Cambria" w:cs="DIN Pro Regular"/>
          <w:spacing w:val="-1"/>
          <w:sz w:val="20"/>
          <w:szCs w:val="20"/>
          <w:lang w:eastAsia="es-MX"/>
        </w:rPr>
        <w:t>,</w:t>
      </w:r>
      <w:r w:rsidR="00DE58ED">
        <w:rPr>
          <w:rFonts w:ascii="Cambria" w:hAnsi="Cambria" w:cs="DIN Pro Regular"/>
          <w:spacing w:val="-1"/>
          <w:sz w:val="20"/>
          <w:szCs w:val="20"/>
          <w:lang w:eastAsia="es-MX"/>
        </w:rPr>
        <w:t>551</w:t>
      </w:r>
      <w:r>
        <w:rPr>
          <w:rFonts w:ascii="Cambria" w:hAnsi="Cambria" w:cs="DIN Pro Regular"/>
          <w:spacing w:val="-1"/>
          <w:sz w:val="20"/>
          <w:szCs w:val="20"/>
          <w:lang w:eastAsia="es-MX"/>
        </w:rPr>
        <w:t>,</w:t>
      </w:r>
      <w:r w:rsidR="00DE58ED">
        <w:rPr>
          <w:rFonts w:ascii="Cambria" w:hAnsi="Cambria" w:cs="DIN Pro Regular"/>
          <w:spacing w:val="-1"/>
          <w:sz w:val="20"/>
          <w:szCs w:val="20"/>
          <w:lang w:eastAsia="es-MX"/>
        </w:rPr>
        <w:t>466</w:t>
      </w:r>
      <w:r>
        <w:rPr>
          <w:rFonts w:ascii="Cambria" w:hAnsi="Cambria" w:cs="DIN Pro Regular"/>
          <w:spacing w:val="-1"/>
          <w:sz w:val="20"/>
          <w:szCs w:val="20"/>
          <w:lang w:eastAsia="es-MX"/>
        </w:rPr>
        <w:t>,</w:t>
      </w:r>
      <w:r w:rsidR="00DE58ED">
        <w:rPr>
          <w:rFonts w:ascii="Cambria" w:hAnsi="Cambria" w:cs="DIN Pro Regular"/>
          <w:spacing w:val="-1"/>
          <w:sz w:val="20"/>
          <w:szCs w:val="20"/>
          <w:lang w:eastAsia="es-MX"/>
        </w:rPr>
        <w:t>449</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154BCDAD" w14:textId="77777777" w:rsidR="00B82D9A" w:rsidRDefault="00B82D9A" w:rsidP="003356EF">
      <w:pPr>
        <w:spacing w:before="80" w:after="0" w:line="250" w:lineRule="exact"/>
        <w:ind w:left="709"/>
        <w:jc w:val="both"/>
        <w:rPr>
          <w:rFonts w:ascii="Cambria" w:hAnsi="Cambria" w:cs="DIN Pro Regular"/>
          <w:spacing w:val="-1"/>
          <w:sz w:val="20"/>
          <w:szCs w:val="20"/>
          <w:lang w:eastAsia="es-MX"/>
        </w:rPr>
      </w:pPr>
    </w:p>
    <w:tbl>
      <w:tblPr>
        <w:tblW w:w="6374" w:type="dxa"/>
        <w:jc w:val="center"/>
        <w:tblCellMar>
          <w:left w:w="70" w:type="dxa"/>
          <w:right w:w="70" w:type="dxa"/>
        </w:tblCellMar>
        <w:tblLook w:val="04A0" w:firstRow="1" w:lastRow="0" w:firstColumn="1" w:lastColumn="0" w:noHBand="0" w:noVBand="1"/>
      </w:tblPr>
      <w:tblGrid>
        <w:gridCol w:w="1555"/>
        <w:gridCol w:w="3118"/>
        <w:gridCol w:w="1701"/>
      </w:tblGrid>
      <w:tr w:rsidR="00201203" w:rsidRPr="00B82D9A" w14:paraId="5B8BAB14" w14:textId="77777777" w:rsidTr="00201203">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122F1F17"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 SOBRE GASTO</w:t>
            </w:r>
          </w:p>
        </w:tc>
        <w:tc>
          <w:tcPr>
            <w:tcW w:w="3118" w:type="dxa"/>
            <w:tcBorders>
              <w:top w:val="single" w:sz="4" w:space="0" w:color="auto"/>
              <w:left w:val="nil"/>
              <w:bottom w:val="single" w:sz="4" w:space="0" w:color="auto"/>
              <w:right w:val="single" w:sz="4" w:space="0" w:color="auto"/>
            </w:tcBorders>
            <w:shd w:val="clear" w:color="auto" w:fill="00426A"/>
            <w:noWrap/>
            <w:vAlign w:val="center"/>
            <w:hideMark/>
          </w:tcPr>
          <w:p w14:paraId="34C8677C"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CUENTA</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0736C762"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IMPORTE</w:t>
            </w:r>
          </w:p>
        </w:tc>
      </w:tr>
      <w:tr w:rsidR="00B82D9A" w:rsidRPr="00B82D9A" w14:paraId="33C5D244"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2F0C1D" w14:textId="05DEEFAA" w:rsidR="00B82D9A" w:rsidRPr="00B82D9A" w:rsidRDefault="004C7DAA" w:rsidP="00B82D9A">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34</w:t>
            </w:r>
            <w:r w:rsidR="00B82D9A" w:rsidRPr="00B82D9A">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44</w:t>
            </w:r>
            <w:r w:rsidR="00B82D9A" w:rsidRPr="00B82D9A">
              <w:rPr>
                <w:rFonts w:ascii="Cambria" w:eastAsia="Times New Roman" w:hAnsi="Cambria" w:cs="Calibri"/>
                <w:color w:val="000000"/>
                <w:sz w:val="16"/>
                <w:szCs w:val="16"/>
                <w:lang w:eastAsia="es-MX"/>
              </w:rPr>
              <w:t>%</w:t>
            </w:r>
          </w:p>
        </w:tc>
        <w:tc>
          <w:tcPr>
            <w:tcW w:w="3118" w:type="dxa"/>
            <w:tcBorders>
              <w:top w:val="nil"/>
              <w:left w:val="nil"/>
              <w:bottom w:val="single" w:sz="4" w:space="0" w:color="auto"/>
              <w:right w:val="single" w:sz="4" w:space="0" w:color="auto"/>
            </w:tcBorders>
            <w:shd w:val="clear" w:color="auto" w:fill="auto"/>
            <w:noWrap/>
            <w:vAlign w:val="center"/>
            <w:hideMark/>
          </w:tcPr>
          <w:p w14:paraId="5FF072F3"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Remuneraciones al personal de carácter permanente</w:t>
            </w:r>
          </w:p>
        </w:tc>
        <w:tc>
          <w:tcPr>
            <w:tcW w:w="1701" w:type="dxa"/>
            <w:tcBorders>
              <w:top w:val="nil"/>
              <w:left w:val="nil"/>
              <w:bottom w:val="single" w:sz="4" w:space="0" w:color="auto"/>
              <w:right w:val="single" w:sz="4" w:space="0" w:color="auto"/>
            </w:tcBorders>
            <w:shd w:val="clear" w:color="auto" w:fill="auto"/>
            <w:noWrap/>
            <w:vAlign w:val="center"/>
            <w:hideMark/>
          </w:tcPr>
          <w:p w14:paraId="2676B9E2" w14:textId="5ED5BB30" w:rsidR="00B82D9A" w:rsidRPr="00B82D9A" w:rsidRDefault="00B82D9A" w:rsidP="00B82D9A">
            <w:pPr>
              <w:spacing w:after="0" w:line="240" w:lineRule="auto"/>
              <w:jc w:val="right"/>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w:t>
            </w:r>
            <w:r w:rsidR="004C7DAA">
              <w:rPr>
                <w:rFonts w:ascii="Cambria" w:eastAsia="Times New Roman" w:hAnsi="Cambria" w:cs="Calibri"/>
                <w:color w:val="000000"/>
                <w:sz w:val="16"/>
                <w:szCs w:val="16"/>
                <w:lang w:eastAsia="es-MX"/>
              </w:rPr>
              <w:t>567</w:t>
            </w:r>
            <w:r w:rsidRPr="00B82D9A">
              <w:rPr>
                <w:rFonts w:ascii="Cambria" w:eastAsia="Times New Roman" w:hAnsi="Cambria" w:cs="Calibri"/>
                <w:color w:val="000000"/>
                <w:sz w:val="16"/>
                <w:szCs w:val="16"/>
                <w:lang w:eastAsia="es-MX"/>
              </w:rPr>
              <w:t>,</w:t>
            </w:r>
            <w:r w:rsidR="00234F73">
              <w:rPr>
                <w:rFonts w:ascii="Cambria" w:eastAsia="Times New Roman" w:hAnsi="Cambria" w:cs="Calibri"/>
                <w:color w:val="000000"/>
                <w:sz w:val="16"/>
                <w:szCs w:val="16"/>
                <w:lang w:eastAsia="es-MX"/>
              </w:rPr>
              <w:t>722</w:t>
            </w:r>
            <w:r w:rsidRPr="00B82D9A">
              <w:rPr>
                <w:rFonts w:ascii="Cambria" w:eastAsia="Times New Roman" w:hAnsi="Cambria" w:cs="Calibri"/>
                <w:color w:val="000000"/>
                <w:sz w:val="16"/>
                <w:szCs w:val="16"/>
                <w:lang w:eastAsia="es-MX"/>
              </w:rPr>
              <w:t>,</w:t>
            </w:r>
            <w:r w:rsidR="00234F73">
              <w:rPr>
                <w:rFonts w:ascii="Cambria" w:eastAsia="Times New Roman" w:hAnsi="Cambria" w:cs="Calibri"/>
                <w:color w:val="000000"/>
                <w:sz w:val="16"/>
                <w:szCs w:val="16"/>
                <w:lang w:eastAsia="es-MX"/>
              </w:rPr>
              <w:t>975</w:t>
            </w:r>
          </w:p>
        </w:tc>
      </w:tr>
      <w:tr w:rsidR="00B82D9A" w:rsidRPr="00B82D9A" w14:paraId="7E343716"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205943" w14:textId="2BBEE4E4" w:rsidR="00B82D9A" w:rsidRPr="00B82D9A" w:rsidRDefault="00B82D9A" w:rsidP="00B82D9A">
            <w:pPr>
              <w:spacing w:after="0" w:line="240" w:lineRule="auto"/>
              <w:jc w:val="center"/>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14.</w:t>
            </w:r>
            <w:r w:rsidR="004C7DAA">
              <w:rPr>
                <w:rFonts w:ascii="Cambria" w:eastAsia="Times New Roman" w:hAnsi="Cambria" w:cs="Calibri"/>
                <w:color w:val="000000"/>
                <w:sz w:val="16"/>
                <w:szCs w:val="16"/>
                <w:lang w:eastAsia="es-MX"/>
              </w:rPr>
              <w:t>55</w:t>
            </w:r>
            <w:r w:rsidRPr="00B82D9A">
              <w:rPr>
                <w:rFonts w:ascii="Cambria" w:eastAsia="Times New Roman" w:hAnsi="Cambria" w:cs="Calibri"/>
                <w:color w:val="000000"/>
                <w:sz w:val="16"/>
                <w:szCs w:val="16"/>
                <w:lang w:eastAsia="es-MX"/>
              </w:rPr>
              <w:t>%</w:t>
            </w:r>
          </w:p>
        </w:tc>
        <w:tc>
          <w:tcPr>
            <w:tcW w:w="3118" w:type="dxa"/>
            <w:tcBorders>
              <w:top w:val="nil"/>
              <w:left w:val="nil"/>
              <w:bottom w:val="single" w:sz="4" w:space="0" w:color="auto"/>
              <w:right w:val="single" w:sz="4" w:space="0" w:color="auto"/>
            </w:tcBorders>
            <w:shd w:val="clear" w:color="auto" w:fill="auto"/>
            <w:noWrap/>
            <w:vAlign w:val="center"/>
            <w:hideMark/>
          </w:tcPr>
          <w:p w14:paraId="3F0D4205"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Remuneraciones adicionales y especiales</w:t>
            </w:r>
          </w:p>
        </w:tc>
        <w:tc>
          <w:tcPr>
            <w:tcW w:w="1701" w:type="dxa"/>
            <w:tcBorders>
              <w:top w:val="nil"/>
              <w:left w:val="nil"/>
              <w:bottom w:val="single" w:sz="4" w:space="0" w:color="auto"/>
              <w:right w:val="single" w:sz="4" w:space="0" w:color="auto"/>
            </w:tcBorders>
            <w:shd w:val="clear" w:color="auto" w:fill="auto"/>
            <w:noWrap/>
            <w:vAlign w:val="center"/>
            <w:hideMark/>
          </w:tcPr>
          <w:p w14:paraId="7AAA9C1E" w14:textId="39CFA20C" w:rsidR="00B82D9A" w:rsidRPr="00B82D9A" w:rsidRDefault="004C7DAA" w:rsidP="00B82D9A">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662</w:t>
            </w:r>
            <w:r w:rsidR="00B82D9A" w:rsidRPr="00B82D9A">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038</w:t>
            </w:r>
            <w:r w:rsidR="00B82D9A" w:rsidRPr="00B82D9A">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043</w:t>
            </w:r>
          </w:p>
        </w:tc>
      </w:tr>
      <w:tr w:rsidR="00B82D9A" w:rsidRPr="00B82D9A" w14:paraId="1C9C4A0F"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324180" w14:textId="697144B0" w:rsidR="00B82D9A" w:rsidRPr="00B82D9A" w:rsidRDefault="00B82D9A" w:rsidP="00B82D9A">
            <w:pPr>
              <w:spacing w:after="0" w:line="240" w:lineRule="auto"/>
              <w:jc w:val="center"/>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14.</w:t>
            </w:r>
            <w:r w:rsidR="004C7DAA">
              <w:rPr>
                <w:rFonts w:ascii="Cambria" w:eastAsia="Times New Roman" w:hAnsi="Cambria" w:cs="Calibri"/>
                <w:color w:val="000000"/>
                <w:sz w:val="16"/>
                <w:szCs w:val="16"/>
                <w:lang w:eastAsia="es-MX"/>
              </w:rPr>
              <w:t>20</w:t>
            </w:r>
            <w:r w:rsidRPr="00B82D9A">
              <w:rPr>
                <w:rFonts w:ascii="Cambria" w:eastAsia="Times New Roman" w:hAnsi="Cambria" w:cs="Calibri"/>
                <w:color w:val="000000"/>
                <w:sz w:val="16"/>
                <w:szCs w:val="16"/>
                <w:lang w:eastAsia="es-MX"/>
              </w:rPr>
              <w:t>%</w:t>
            </w:r>
          </w:p>
        </w:tc>
        <w:tc>
          <w:tcPr>
            <w:tcW w:w="3118" w:type="dxa"/>
            <w:tcBorders>
              <w:top w:val="nil"/>
              <w:left w:val="nil"/>
              <w:bottom w:val="single" w:sz="4" w:space="0" w:color="auto"/>
              <w:right w:val="single" w:sz="4" w:space="0" w:color="auto"/>
            </w:tcBorders>
            <w:shd w:val="clear" w:color="auto" w:fill="auto"/>
            <w:noWrap/>
            <w:vAlign w:val="center"/>
            <w:hideMark/>
          </w:tcPr>
          <w:p w14:paraId="0707A4BE"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Otras prestaciones sociales y económicas</w:t>
            </w:r>
          </w:p>
        </w:tc>
        <w:tc>
          <w:tcPr>
            <w:tcW w:w="1701" w:type="dxa"/>
            <w:tcBorders>
              <w:top w:val="nil"/>
              <w:left w:val="nil"/>
              <w:bottom w:val="single" w:sz="4" w:space="0" w:color="auto"/>
              <w:right w:val="single" w:sz="4" w:space="0" w:color="auto"/>
            </w:tcBorders>
            <w:shd w:val="clear" w:color="auto" w:fill="auto"/>
            <w:noWrap/>
            <w:vAlign w:val="center"/>
            <w:hideMark/>
          </w:tcPr>
          <w:p w14:paraId="4B47CD50" w14:textId="71430DB9" w:rsidR="00B82D9A" w:rsidRPr="00B82D9A" w:rsidRDefault="004C7DAA" w:rsidP="00B82D9A">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646</w:t>
            </w:r>
            <w:r w:rsidR="00B82D9A" w:rsidRPr="00B82D9A">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435</w:t>
            </w:r>
            <w:r w:rsidR="00B82D9A" w:rsidRPr="00B82D9A">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742</w:t>
            </w:r>
          </w:p>
        </w:tc>
      </w:tr>
    </w:tbl>
    <w:p w14:paraId="23AA537D" w14:textId="77777777" w:rsidR="00B82D9A" w:rsidRDefault="00B82D9A" w:rsidP="003356EF">
      <w:pPr>
        <w:spacing w:before="80" w:after="0" w:line="250" w:lineRule="exact"/>
        <w:ind w:left="709"/>
        <w:jc w:val="both"/>
        <w:rPr>
          <w:rFonts w:ascii="Cambria" w:hAnsi="Cambria" w:cs="DIN Pro Regular"/>
          <w:spacing w:val="-1"/>
          <w:sz w:val="20"/>
          <w:szCs w:val="20"/>
          <w:lang w:eastAsia="es-MX"/>
        </w:rPr>
      </w:pPr>
    </w:p>
    <w:p w14:paraId="2F7416BF" w14:textId="237CB9D7" w:rsidR="003356EF" w:rsidRPr="00E020BE" w:rsidRDefault="003356EF" w:rsidP="003356EF">
      <w:pPr>
        <w:pStyle w:val="Texto"/>
        <w:ind w:left="708" w:firstLine="0"/>
        <w:rPr>
          <w:rFonts w:ascii="Cambria" w:hAnsi="Cambria" w:cs="DIN Pro Regular"/>
          <w:sz w:val="20"/>
        </w:rPr>
      </w:pPr>
      <w:r w:rsidRPr="00B82D9A">
        <w:rPr>
          <w:rFonts w:ascii="Cambria" w:hAnsi="Cambria" w:cs="DIN Pro Regular"/>
          <w:spacing w:val="-1"/>
          <w:sz w:val="20"/>
          <w:lang w:eastAsia="es-MX"/>
        </w:rPr>
        <w:t>Remuneraciones al personal de carácter permanente, Remuneraciones adicionales y especiales, Otras prestaciones sociales y económicas</w:t>
      </w:r>
      <w:r w:rsidRPr="00B82D9A">
        <w:rPr>
          <w:rFonts w:ascii="Cambria" w:hAnsi="Cambria" w:cs="DIN Pro Regular"/>
          <w:b/>
          <w:sz w:val="20"/>
        </w:rPr>
        <w:t xml:space="preserve">: </w:t>
      </w:r>
      <w:r w:rsidRPr="00B82D9A">
        <w:rPr>
          <w:rFonts w:ascii="Cambria" w:hAnsi="Cambria" w:cs="DIN Pro Regular"/>
          <w:sz w:val="20"/>
        </w:rPr>
        <w:t xml:space="preserve">Representan las erogaciones pagadas por concepto de sueldo base al personal permanente, primas por años de servicios efectivos prestados, primas de vacaciones, </w:t>
      </w:r>
      <w:r w:rsidRPr="00B82D9A">
        <w:rPr>
          <w:rFonts w:ascii="Cambria" w:hAnsi="Cambria" w:cs="DIN Pro Regular"/>
          <w:sz w:val="20"/>
        </w:rPr>
        <w:lastRenderedPageBreak/>
        <w:t>dominical y gratificación de fin de año, compensaciones, cuotas para el fondo de ahorro y fondo de trabajo, indemnizaciones</w:t>
      </w:r>
      <w:r w:rsidR="008526D7" w:rsidRPr="00B82D9A">
        <w:rPr>
          <w:rFonts w:ascii="Cambria" w:hAnsi="Cambria" w:cs="DIN Pro Regular"/>
          <w:sz w:val="20"/>
        </w:rPr>
        <w:t>,</w:t>
      </w:r>
      <w:r w:rsidRPr="00B82D9A">
        <w:rPr>
          <w:rFonts w:ascii="Cambria" w:hAnsi="Cambria" w:cs="DIN Pro Regular"/>
          <w:sz w:val="20"/>
        </w:rPr>
        <w:t xml:space="preserve"> prestaciones contractuales</w:t>
      </w:r>
      <w:r w:rsidR="00B86AF6">
        <w:rPr>
          <w:rFonts w:ascii="Cambria" w:hAnsi="Cambria" w:cs="DIN Pro Regular"/>
          <w:sz w:val="20"/>
        </w:rPr>
        <w:t>,</w:t>
      </w:r>
      <w:r w:rsidR="008526D7" w:rsidRPr="00B82D9A">
        <w:rPr>
          <w:rFonts w:ascii="Cambria" w:hAnsi="Cambria" w:cs="DIN Pro Regular"/>
          <w:sz w:val="20"/>
        </w:rPr>
        <w:t xml:space="preserve"> cristales para lentes</w:t>
      </w:r>
      <w:r w:rsidR="005B0A17" w:rsidRPr="00B82D9A">
        <w:rPr>
          <w:rFonts w:ascii="Cambria" w:hAnsi="Cambria" w:cs="DIN Pro Regular"/>
          <w:sz w:val="20"/>
        </w:rPr>
        <w:t xml:space="preserve"> </w:t>
      </w:r>
      <w:r w:rsidR="00B86AF6">
        <w:rPr>
          <w:rFonts w:ascii="Cambria" w:hAnsi="Cambria" w:cs="DIN Pro Regular"/>
          <w:sz w:val="20"/>
        </w:rPr>
        <w:t xml:space="preserve">y otras prestaciones sociales y económicas </w:t>
      </w:r>
      <w:r w:rsidRPr="00B82D9A">
        <w:rPr>
          <w:rFonts w:ascii="Cambria" w:hAnsi="Cambria" w:cs="DIN Pro Regular"/>
          <w:sz w:val="20"/>
        </w:rPr>
        <w:t>al personal que labora en la Universidad Autónoma de Tamaulipas de acuerdo con las disposiciones legales y los contratos colectivos de trabajo vigentes.</w:t>
      </w:r>
    </w:p>
    <w:p w14:paraId="2BB769C5" w14:textId="77777777" w:rsidR="003356EF" w:rsidRPr="005B2D52" w:rsidRDefault="003356EF" w:rsidP="003356EF">
      <w:pPr>
        <w:pStyle w:val="Texto"/>
        <w:spacing w:after="0" w:line="240" w:lineRule="exact"/>
        <w:ind w:left="648" w:firstLine="0"/>
        <w:rPr>
          <w:rFonts w:ascii="Cambria" w:hAnsi="Cambria" w:cs="DIN Pro Regular"/>
          <w:sz w:val="20"/>
        </w:rPr>
      </w:pPr>
    </w:p>
    <w:p w14:paraId="1ED90699" w14:textId="7DB9E931"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48CB4BFC" w14:textId="436363D1"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w:t>
      </w:r>
      <w:r w:rsidR="00B7195D">
        <w:rPr>
          <w:rFonts w:ascii="Cambria" w:hAnsi="Cambria" w:cs="DIN Pro Regular"/>
          <w:bCs/>
          <w:sz w:val="20"/>
        </w:rPr>
        <w:t>31 de diciembre</w:t>
      </w:r>
      <w:r w:rsidRPr="005B2D52">
        <w:rPr>
          <w:rFonts w:ascii="Cambria" w:hAnsi="Cambria" w:cs="DIN Pro Regular"/>
          <w:bCs/>
          <w:sz w:val="20"/>
        </w:rPr>
        <w:t xml:space="preserve"> de 202</w:t>
      </w:r>
      <w:r w:rsidR="009D2A83">
        <w:rPr>
          <w:rFonts w:ascii="Cambria" w:hAnsi="Cambria" w:cs="DIN Pro Regular"/>
          <w:bCs/>
          <w:sz w:val="20"/>
        </w:rPr>
        <w:t>3</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921508">
        <w:rPr>
          <w:rFonts w:ascii="Cambria" w:hAnsi="Cambria" w:cs="DIN Pro Regular"/>
          <w:bCs/>
          <w:sz w:val="20"/>
        </w:rPr>
        <w:t>334</w:t>
      </w:r>
      <w:r w:rsidRPr="005B2D52">
        <w:rPr>
          <w:rFonts w:ascii="Cambria" w:hAnsi="Cambria" w:cs="DIN Pro Regular"/>
          <w:bCs/>
          <w:sz w:val="20"/>
        </w:rPr>
        <w:t>,</w:t>
      </w:r>
      <w:r w:rsidR="00921508">
        <w:rPr>
          <w:rFonts w:ascii="Cambria" w:hAnsi="Cambria" w:cs="DIN Pro Regular"/>
          <w:bCs/>
          <w:sz w:val="20"/>
        </w:rPr>
        <w:t>821</w:t>
      </w:r>
      <w:r w:rsidRPr="005B2D52">
        <w:rPr>
          <w:rFonts w:ascii="Cambria" w:hAnsi="Cambria" w:cs="DIN Pro Regular"/>
          <w:bCs/>
          <w:sz w:val="20"/>
        </w:rPr>
        <w:t>,</w:t>
      </w:r>
      <w:r w:rsidR="00921508">
        <w:rPr>
          <w:rFonts w:ascii="Cambria" w:hAnsi="Cambria" w:cs="DIN Pro Regular"/>
          <w:bCs/>
          <w:sz w:val="20"/>
        </w:rPr>
        <w:t>898</w:t>
      </w:r>
      <w:r w:rsidRPr="005B2D52">
        <w:rPr>
          <w:rFonts w:ascii="Cambria" w:hAnsi="Cambria" w:cs="DIN Pro Regular"/>
          <w:bCs/>
          <w:sz w:val="20"/>
        </w:rPr>
        <w:t xml:space="preserve"> pesos dicho saldo se integra como sigue: </w:t>
      </w:r>
    </w:p>
    <w:tbl>
      <w:tblPr>
        <w:tblW w:w="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722"/>
        <w:gridCol w:w="1260"/>
        <w:gridCol w:w="1528"/>
      </w:tblGrid>
      <w:tr w:rsidR="00921508" w:rsidRPr="00A013FC" w14:paraId="1B107D6B" w14:textId="77777777" w:rsidTr="00F10848">
        <w:trPr>
          <w:trHeight w:val="630"/>
          <w:jc w:val="center"/>
        </w:trPr>
        <w:tc>
          <w:tcPr>
            <w:tcW w:w="1640" w:type="dxa"/>
            <w:shd w:val="clear" w:color="000000" w:fill="1F497D"/>
            <w:noWrap/>
            <w:vAlign w:val="center"/>
            <w:hideMark/>
          </w:tcPr>
          <w:p w14:paraId="3B7A97D8" w14:textId="77777777" w:rsidR="00921508" w:rsidRPr="00A013FC" w:rsidRDefault="00921508" w:rsidP="00F10848">
            <w:pPr>
              <w:spacing w:after="0" w:line="240" w:lineRule="auto"/>
              <w:jc w:val="center"/>
              <w:rPr>
                <w:rFonts w:ascii="Cambria" w:eastAsia="Times New Roman" w:hAnsi="Cambria" w:cs="Calibri"/>
                <w:b/>
                <w:bCs/>
                <w:color w:val="FFFFFF"/>
                <w:sz w:val="16"/>
                <w:szCs w:val="16"/>
                <w:lang w:eastAsia="es-MX"/>
              </w:rPr>
            </w:pPr>
            <w:r w:rsidRPr="00A013FC">
              <w:rPr>
                <w:rFonts w:ascii="Cambria" w:eastAsia="Times New Roman" w:hAnsi="Cambria" w:cs="Calibri"/>
                <w:b/>
                <w:bCs/>
                <w:color w:val="FFFFFF"/>
                <w:sz w:val="16"/>
                <w:szCs w:val="16"/>
                <w:lang w:eastAsia="es-MX"/>
              </w:rPr>
              <w:t>ORIGEN DEL RECURSO</w:t>
            </w:r>
          </w:p>
        </w:tc>
        <w:tc>
          <w:tcPr>
            <w:tcW w:w="1722" w:type="dxa"/>
            <w:shd w:val="clear" w:color="000000" w:fill="1F497D"/>
            <w:vAlign w:val="center"/>
            <w:hideMark/>
          </w:tcPr>
          <w:p w14:paraId="692004FF" w14:textId="77777777" w:rsidR="00921508" w:rsidRPr="00A013FC" w:rsidRDefault="00921508" w:rsidP="00F10848">
            <w:pPr>
              <w:spacing w:after="0" w:line="240" w:lineRule="auto"/>
              <w:jc w:val="center"/>
              <w:rPr>
                <w:rFonts w:ascii="Cambria" w:eastAsia="Times New Roman" w:hAnsi="Cambria" w:cs="Calibri"/>
                <w:b/>
                <w:bCs/>
                <w:color w:val="FFFFFF"/>
                <w:sz w:val="16"/>
                <w:szCs w:val="16"/>
                <w:lang w:eastAsia="es-MX"/>
              </w:rPr>
            </w:pPr>
            <w:r w:rsidRPr="00A013FC">
              <w:rPr>
                <w:rFonts w:ascii="Cambria" w:eastAsia="Times New Roman" w:hAnsi="Cambria" w:cs="Calibri"/>
                <w:b/>
                <w:bCs/>
                <w:color w:val="FFFFFF"/>
                <w:sz w:val="16"/>
                <w:szCs w:val="16"/>
                <w:lang w:eastAsia="es-MX"/>
              </w:rPr>
              <w:t>INSTITUCION BANCARIA RESGUARDANTE</w:t>
            </w:r>
          </w:p>
        </w:tc>
        <w:tc>
          <w:tcPr>
            <w:tcW w:w="1260" w:type="dxa"/>
            <w:shd w:val="clear" w:color="000000" w:fill="1F497D"/>
            <w:noWrap/>
            <w:vAlign w:val="center"/>
            <w:hideMark/>
          </w:tcPr>
          <w:p w14:paraId="0C6C8813" w14:textId="77777777" w:rsidR="00921508" w:rsidRPr="00A013FC" w:rsidRDefault="00921508" w:rsidP="00F10848">
            <w:pPr>
              <w:spacing w:after="0" w:line="240" w:lineRule="auto"/>
              <w:jc w:val="center"/>
              <w:rPr>
                <w:rFonts w:ascii="Cambria" w:eastAsia="Times New Roman" w:hAnsi="Cambria" w:cs="Calibri"/>
                <w:b/>
                <w:bCs/>
                <w:color w:val="FFFFFF"/>
                <w:sz w:val="16"/>
                <w:szCs w:val="16"/>
                <w:lang w:eastAsia="es-MX"/>
              </w:rPr>
            </w:pPr>
            <w:r w:rsidRPr="00A013FC">
              <w:rPr>
                <w:rFonts w:ascii="Cambria" w:eastAsia="Times New Roman" w:hAnsi="Cambria" w:cs="Calibri"/>
                <w:b/>
                <w:bCs/>
                <w:color w:val="FFFFFF"/>
                <w:sz w:val="16"/>
                <w:szCs w:val="16"/>
                <w:lang w:eastAsia="es-MX"/>
              </w:rPr>
              <w:t>CUENTA</w:t>
            </w:r>
          </w:p>
        </w:tc>
        <w:tc>
          <w:tcPr>
            <w:tcW w:w="1528" w:type="dxa"/>
            <w:shd w:val="clear" w:color="000000" w:fill="1F497D"/>
            <w:noWrap/>
            <w:vAlign w:val="center"/>
            <w:hideMark/>
          </w:tcPr>
          <w:p w14:paraId="3AAD07C9" w14:textId="77777777" w:rsidR="00921508" w:rsidRPr="00A013FC" w:rsidRDefault="00921508" w:rsidP="00F10848">
            <w:pPr>
              <w:spacing w:after="0" w:line="240" w:lineRule="auto"/>
              <w:jc w:val="center"/>
              <w:rPr>
                <w:rFonts w:ascii="Cambria" w:eastAsia="Times New Roman" w:hAnsi="Cambria" w:cs="Calibri"/>
                <w:b/>
                <w:bCs/>
                <w:color w:val="FFFFFF"/>
                <w:sz w:val="16"/>
                <w:szCs w:val="16"/>
                <w:lang w:eastAsia="es-MX"/>
              </w:rPr>
            </w:pPr>
            <w:r w:rsidRPr="00921508">
              <w:rPr>
                <w:rFonts w:ascii="Cambria" w:eastAsia="Times New Roman" w:hAnsi="Cambria" w:cs="Calibri"/>
                <w:b/>
                <w:bCs/>
                <w:color w:val="FFFFFF"/>
                <w:sz w:val="16"/>
                <w:szCs w:val="16"/>
                <w:lang w:eastAsia="es-MX"/>
              </w:rPr>
              <w:t>SALDO</w:t>
            </w:r>
          </w:p>
        </w:tc>
      </w:tr>
      <w:tr w:rsidR="00921508" w:rsidRPr="00A013FC" w14:paraId="35A91DB9" w14:textId="77777777" w:rsidTr="00F10848">
        <w:trPr>
          <w:trHeight w:val="210"/>
          <w:jc w:val="center"/>
        </w:trPr>
        <w:tc>
          <w:tcPr>
            <w:tcW w:w="1640" w:type="dxa"/>
            <w:shd w:val="clear" w:color="000000" w:fill="DCE6F1"/>
            <w:noWrap/>
            <w:vAlign w:val="bottom"/>
            <w:hideMark/>
          </w:tcPr>
          <w:p w14:paraId="62A82BB7"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FEDERAL</w:t>
            </w:r>
          </w:p>
        </w:tc>
        <w:tc>
          <w:tcPr>
            <w:tcW w:w="1722" w:type="dxa"/>
            <w:shd w:val="clear" w:color="000000" w:fill="DCE6F1"/>
            <w:noWrap/>
            <w:vAlign w:val="bottom"/>
            <w:hideMark/>
          </w:tcPr>
          <w:p w14:paraId="68A1EE02"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260" w:type="dxa"/>
            <w:shd w:val="clear" w:color="000000" w:fill="DCE6F1"/>
            <w:noWrap/>
            <w:vAlign w:val="bottom"/>
            <w:hideMark/>
          </w:tcPr>
          <w:p w14:paraId="2734BD76"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p>
        </w:tc>
        <w:tc>
          <w:tcPr>
            <w:tcW w:w="1528" w:type="dxa"/>
            <w:shd w:val="clear" w:color="000000" w:fill="DCE6F1"/>
            <w:noWrap/>
            <w:vAlign w:val="bottom"/>
            <w:hideMark/>
          </w:tcPr>
          <w:p w14:paraId="2D551F93"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             89,960,040 </w:t>
            </w:r>
          </w:p>
        </w:tc>
      </w:tr>
      <w:tr w:rsidR="00921508" w:rsidRPr="00A013FC" w14:paraId="06F34D8C" w14:textId="77777777" w:rsidTr="00F10848">
        <w:trPr>
          <w:trHeight w:val="210"/>
          <w:jc w:val="center"/>
        </w:trPr>
        <w:tc>
          <w:tcPr>
            <w:tcW w:w="1640" w:type="dxa"/>
            <w:shd w:val="clear" w:color="auto" w:fill="auto"/>
            <w:noWrap/>
            <w:vAlign w:val="bottom"/>
            <w:hideMark/>
          </w:tcPr>
          <w:p w14:paraId="33E61B73"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1DB7CB11"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2EF61F2C"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1873</w:t>
            </w:r>
          </w:p>
        </w:tc>
        <w:tc>
          <w:tcPr>
            <w:tcW w:w="1528" w:type="dxa"/>
            <w:shd w:val="clear" w:color="auto" w:fill="auto"/>
            <w:noWrap/>
            <w:vAlign w:val="bottom"/>
            <w:hideMark/>
          </w:tcPr>
          <w:p w14:paraId="3316A637"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89,960,040 </w:t>
            </w:r>
          </w:p>
        </w:tc>
      </w:tr>
      <w:tr w:rsidR="00921508" w:rsidRPr="00A013FC" w14:paraId="70C6C2BB" w14:textId="77777777" w:rsidTr="00F10848">
        <w:trPr>
          <w:trHeight w:val="210"/>
          <w:jc w:val="center"/>
        </w:trPr>
        <w:tc>
          <w:tcPr>
            <w:tcW w:w="1640" w:type="dxa"/>
            <w:shd w:val="clear" w:color="000000" w:fill="DCE6F1"/>
            <w:noWrap/>
            <w:vAlign w:val="bottom"/>
            <w:hideMark/>
          </w:tcPr>
          <w:p w14:paraId="3EF2A4DD"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ESTATAL</w:t>
            </w:r>
          </w:p>
        </w:tc>
        <w:tc>
          <w:tcPr>
            <w:tcW w:w="1722" w:type="dxa"/>
            <w:shd w:val="clear" w:color="000000" w:fill="DCE6F1"/>
            <w:noWrap/>
            <w:vAlign w:val="bottom"/>
            <w:hideMark/>
          </w:tcPr>
          <w:p w14:paraId="7DAB842E"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260" w:type="dxa"/>
            <w:shd w:val="clear" w:color="000000" w:fill="DCE6F1"/>
            <w:noWrap/>
            <w:vAlign w:val="bottom"/>
            <w:hideMark/>
          </w:tcPr>
          <w:p w14:paraId="37FAC702"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p>
        </w:tc>
        <w:tc>
          <w:tcPr>
            <w:tcW w:w="1528" w:type="dxa"/>
            <w:shd w:val="clear" w:color="000000" w:fill="DCE6F1"/>
            <w:noWrap/>
            <w:vAlign w:val="bottom"/>
            <w:hideMark/>
          </w:tcPr>
          <w:p w14:paraId="2AB15997"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             99,143,942 </w:t>
            </w:r>
          </w:p>
        </w:tc>
      </w:tr>
      <w:tr w:rsidR="00921508" w:rsidRPr="00A013FC" w14:paraId="391E0E2F" w14:textId="77777777" w:rsidTr="00F10848">
        <w:trPr>
          <w:trHeight w:val="210"/>
          <w:jc w:val="center"/>
        </w:trPr>
        <w:tc>
          <w:tcPr>
            <w:tcW w:w="1640" w:type="dxa"/>
            <w:shd w:val="clear" w:color="auto" w:fill="auto"/>
            <w:noWrap/>
            <w:vAlign w:val="bottom"/>
            <w:hideMark/>
          </w:tcPr>
          <w:p w14:paraId="142967B6"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137C7AA0"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BANREGIO</w:t>
            </w:r>
          </w:p>
        </w:tc>
        <w:tc>
          <w:tcPr>
            <w:tcW w:w="1260" w:type="dxa"/>
            <w:shd w:val="clear" w:color="auto" w:fill="auto"/>
            <w:noWrap/>
            <w:vAlign w:val="bottom"/>
            <w:hideMark/>
          </w:tcPr>
          <w:p w14:paraId="297906DF"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921508">
              <w:rPr>
                <w:rFonts w:ascii="Cambria" w:eastAsia="Times New Roman" w:hAnsi="Cambria" w:cs="Calibri"/>
                <w:sz w:val="16"/>
                <w:szCs w:val="16"/>
                <w:lang w:eastAsia="es-MX"/>
              </w:rPr>
              <w:t>00</w:t>
            </w:r>
            <w:r w:rsidRPr="00A013FC">
              <w:rPr>
                <w:rFonts w:ascii="Cambria" w:eastAsia="Times New Roman" w:hAnsi="Cambria" w:cs="Calibri"/>
                <w:sz w:val="16"/>
                <w:szCs w:val="16"/>
                <w:lang w:eastAsia="es-MX"/>
              </w:rPr>
              <w:t>12</w:t>
            </w:r>
          </w:p>
        </w:tc>
        <w:tc>
          <w:tcPr>
            <w:tcW w:w="1528" w:type="dxa"/>
            <w:shd w:val="clear" w:color="auto" w:fill="auto"/>
            <w:noWrap/>
            <w:vAlign w:val="bottom"/>
            <w:hideMark/>
          </w:tcPr>
          <w:p w14:paraId="23095C13"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108,490 </w:t>
            </w:r>
          </w:p>
        </w:tc>
      </w:tr>
      <w:tr w:rsidR="00921508" w:rsidRPr="00A013FC" w14:paraId="7FAE3093" w14:textId="77777777" w:rsidTr="00F10848">
        <w:trPr>
          <w:trHeight w:val="210"/>
          <w:jc w:val="center"/>
        </w:trPr>
        <w:tc>
          <w:tcPr>
            <w:tcW w:w="1640" w:type="dxa"/>
            <w:shd w:val="clear" w:color="auto" w:fill="auto"/>
            <w:noWrap/>
            <w:vAlign w:val="bottom"/>
            <w:hideMark/>
          </w:tcPr>
          <w:p w14:paraId="5112ED47"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5E258C37"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6181087F"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9785</w:t>
            </w:r>
          </w:p>
        </w:tc>
        <w:tc>
          <w:tcPr>
            <w:tcW w:w="1528" w:type="dxa"/>
            <w:shd w:val="clear" w:color="auto" w:fill="auto"/>
            <w:noWrap/>
            <w:vAlign w:val="bottom"/>
            <w:hideMark/>
          </w:tcPr>
          <w:p w14:paraId="2E2FED4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 </w:t>
            </w:r>
          </w:p>
        </w:tc>
      </w:tr>
      <w:tr w:rsidR="00921508" w:rsidRPr="00A013FC" w14:paraId="1CA86A7C" w14:textId="77777777" w:rsidTr="00F10848">
        <w:trPr>
          <w:trHeight w:val="210"/>
          <w:jc w:val="center"/>
        </w:trPr>
        <w:tc>
          <w:tcPr>
            <w:tcW w:w="1640" w:type="dxa"/>
            <w:shd w:val="clear" w:color="auto" w:fill="auto"/>
            <w:noWrap/>
            <w:vAlign w:val="bottom"/>
            <w:hideMark/>
          </w:tcPr>
          <w:p w14:paraId="588A86AA"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555D0CFC"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6DC80898"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6468</w:t>
            </w:r>
          </w:p>
        </w:tc>
        <w:tc>
          <w:tcPr>
            <w:tcW w:w="1528" w:type="dxa"/>
            <w:shd w:val="clear" w:color="auto" w:fill="auto"/>
            <w:noWrap/>
            <w:vAlign w:val="bottom"/>
            <w:hideMark/>
          </w:tcPr>
          <w:p w14:paraId="2DFEA263"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2,736,486 </w:t>
            </w:r>
          </w:p>
        </w:tc>
      </w:tr>
      <w:tr w:rsidR="00921508" w:rsidRPr="00A013FC" w14:paraId="6BA191E5" w14:textId="77777777" w:rsidTr="00F10848">
        <w:trPr>
          <w:trHeight w:val="210"/>
          <w:jc w:val="center"/>
        </w:trPr>
        <w:tc>
          <w:tcPr>
            <w:tcW w:w="1640" w:type="dxa"/>
            <w:shd w:val="clear" w:color="auto" w:fill="auto"/>
            <w:noWrap/>
            <w:vAlign w:val="bottom"/>
            <w:hideMark/>
          </w:tcPr>
          <w:p w14:paraId="0409EB92"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0B9EEF53"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6B4FE7DD"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1857</w:t>
            </w:r>
          </w:p>
        </w:tc>
        <w:tc>
          <w:tcPr>
            <w:tcW w:w="1528" w:type="dxa"/>
            <w:shd w:val="clear" w:color="auto" w:fill="auto"/>
            <w:noWrap/>
            <w:vAlign w:val="bottom"/>
            <w:hideMark/>
          </w:tcPr>
          <w:p w14:paraId="737F09A2"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1,454,569 </w:t>
            </w:r>
          </w:p>
        </w:tc>
      </w:tr>
      <w:tr w:rsidR="00921508" w:rsidRPr="00A013FC" w14:paraId="7D5E703C" w14:textId="77777777" w:rsidTr="00F10848">
        <w:trPr>
          <w:trHeight w:val="210"/>
          <w:jc w:val="center"/>
        </w:trPr>
        <w:tc>
          <w:tcPr>
            <w:tcW w:w="1640" w:type="dxa"/>
            <w:shd w:val="clear" w:color="auto" w:fill="auto"/>
            <w:noWrap/>
            <w:vAlign w:val="bottom"/>
            <w:hideMark/>
          </w:tcPr>
          <w:p w14:paraId="3066FCBF"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79FAFD48"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2CD3A174"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1840</w:t>
            </w:r>
          </w:p>
        </w:tc>
        <w:tc>
          <w:tcPr>
            <w:tcW w:w="1528" w:type="dxa"/>
            <w:shd w:val="clear" w:color="auto" w:fill="auto"/>
            <w:noWrap/>
            <w:vAlign w:val="bottom"/>
            <w:hideMark/>
          </w:tcPr>
          <w:p w14:paraId="4DE5A101"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34,500,235 </w:t>
            </w:r>
          </w:p>
        </w:tc>
      </w:tr>
      <w:tr w:rsidR="00921508" w:rsidRPr="00A013FC" w14:paraId="35512789" w14:textId="77777777" w:rsidTr="00F10848">
        <w:trPr>
          <w:trHeight w:val="210"/>
          <w:jc w:val="center"/>
        </w:trPr>
        <w:tc>
          <w:tcPr>
            <w:tcW w:w="1640" w:type="dxa"/>
            <w:shd w:val="clear" w:color="auto" w:fill="auto"/>
            <w:noWrap/>
            <w:vAlign w:val="bottom"/>
            <w:hideMark/>
          </w:tcPr>
          <w:p w14:paraId="2B04BBF0"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6FAAAFB1"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0222FA69"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3346</w:t>
            </w:r>
          </w:p>
        </w:tc>
        <w:tc>
          <w:tcPr>
            <w:tcW w:w="1528" w:type="dxa"/>
            <w:shd w:val="clear" w:color="auto" w:fill="auto"/>
            <w:noWrap/>
            <w:vAlign w:val="bottom"/>
            <w:hideMark/>
          </w:tcPr>
          <w:p w14:paraId="12ED513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 </w:t>
            </w:r>
          </w:p>
        </w:tc>
      </w:tr>
      <w:tr w:rsidR="00921508" w:rsidRPr="00A013FC" w14:paraId="09A9072F" w14:textId="77777777" w:rsidTr="00F10848">
        <w:trPr>
          <w:trHeight w:val="210"/>
          <w:jc w:val="center"/>
        </w:trPr>
        <w:tc>
          <w:tcPr>
            <w:tcW w:w="1640" w:type="dxa"/>
            <w:shd w:val="clear" w:color="auto" w:fill="auto"/>
            <w:noWrap/>
            <w:vAlign w:val="bottom"/>
            <w:hideMark/>
          </w:tcPr>
          <w:p w14:paraId="056695FA"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722" w:type="dxa"/>
            <w:shd w:val="clear" w:color="auto" w:fill="auto"/>
            <w:noWrap/>
            <w:vAlign w:val="bottom"/>
            <w:hideMark/>
          </w:tcPr>
          <w:p w14:paraId="4B945E2D"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15EDD3B2"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7322</w:t>
            </w:r>
          </w:p>
        </w:tc>
        <w:tc>
          <w:tcPr>
            <w:tcW w:w="1528" w:type="dxa"/>
            <w:shd w:val="clear" w:color="auto" w:fill="auto"/>
            <w:noWrap/>
            <w:vAlign w:val="bottom"/>
            <w:hideMark/>
          </w:tcPr>
          <w:p w14:paraId="5FDF03FE"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60,344,157 </w:t>
            </w:r>
          </w:p>
        </w:tc>
      </w:tr>
      <w:tr w:rsidR="00921508" w:rsidRPr="00A013FC" w14:paraId="72B75424" w14:textId="77777777" w:rsidTr="00F10848">
        <w:trPr>
          <w:trHeight w:val="210"/>
          <w:jc w:val="center"/>
        </w:trPr>
        <w:tc>
          <w:tcPr>
            <w:tcW w:w="1640" w:type="dxa"/>
            <w:shd w:val="clear" w:color="000000" w:fill="DCE6F1"/>
            <w:noWrap/>
            <w:vAlign w:val="bottom"/>
            <w:hideMark/>
          </w:tcPr>
          <w:p w14:paraId="34855CBC"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PROPIOS </w:t>
            </w:r>
          </w:p>
        </w:tc>
        <w:tc>
          <w:tcPr>
            <w:tcW w:w="1722" w:type="dxa"/>
            <w:shd w:val="clear" w:color="000000" w:fill="DCE6F1"/>
            <w:noWrap/>
            <w:vAlign w:val="bottom"/>
            <w:hideMark/>
          </w:tcPr>
          <w:p w14:paraId="7B4356C9"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w:t>
            </w:r>
          </w:p>
        </w:tc>
        <w:tc>
          <w:tcPr>
            <w:tcW w:w="1260" w:type="dxa"/>
            <w:shd w:val="clear" w:color="000000" w:fill="DCE6F1"/>
            <w:noWrap/>
            <w:vAlign w:val="bottom"/>
            <w:hideMark/>
          </w:tcPr>
          <w:p w14:paraId="61654997"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p>
        </w:tc>
        <w:tc>
          <w:tcPr>
            <w:tcW w:w="1528" w:type="dxa"/>
            <w:shd w:val="clear" w:color="000000" w:fill="DCE6F1"/>
            <w:noWrap/>
            <w:vAlign w:val="bottom"/>
            <w:hideMark/>
          </w:tcPr>
          <w:p w14:paraId="05C50757"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          145,717,915 </w:t>
            </w:r>
          </w:p>
        </w:tc>
      </w:tr>
      <w:tr w:rsidR="00921508" w:rsidRPr="00A013FC" w14:paraId="7721EA79" w14:textId="77777777" w:rsidTr="00F10848">
        <w:trPr>
          <w:trHeight w:val="210"/>
          <w:jc w:val="center"/>
        </w:trPr>
        <w:tc>
          <w:tcPr>
            <w:tcW w:w="1640" w:type="dxa"/>
            <w:shd w:val="clear" w:color="auto" w:fill="auto"/>
            <w:noWrap/>
            <w:vAlign w:val="bottom"/>
            <w:hideMark/>
          </w:tcPr>
          <w:p w14:paraId="7E23EA7A"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42E73ED5"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3C625C9A"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3317</w:t>
            </w:r>
          </w:p>
        </w:tc>
        <w:tc>
          <w:tcPr>
            <w:tcW w:w="1528" w:type="dxa"/>
            <w:shd w:val="clear" w:color="auto" w:fill="auto"/>
            <w:noWrap/>
            <w:vAlign w:val="bottom"/>
            <w:hideMark/>
          </w:tcPr>
          <w:p w14:paraId="24875704"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693,820 </w:t>
            </w:r>
          </w:p>
        </w:tc>
      </w:tr>
      <w:tr w:rsidR="00921508" w:rsidRPr="00A013FC" w14:paraId="2BB1C10D" w14:textId="77777777" w:rsidTr="00F10848">
        <w:trPr>
          <w:trHeight w:val="210"/>
          <w:jc w:val="center"/>
        </w:trPr>
        <w:tc>
          <w:tcPr>
            <w:tcW w:w="1640" w:type="dxa"/>
            <w:shd w:val="clear" w:color="auto" w:fill="auto"/>
            <w:noWrap/>
            <w:vAlign w:val="bottom"/>
            <w:hideMark/>
          </w:tcPr>
          <w:p w14:paraId="6B2D22BC"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3D9A6D06"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68555A37"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5235</w:t>
            </w:r>
          </w:p>
        </w:tc>
        <w:tc>
          <w:tcPr>
            <w:tcW w:w="1528" w:type="dxa"/>
            <w:shd w:val="clear" w:color="auto" w:fill="auto"/>
            <w:noWrap/>
            <w:vAlign w:val="bottom"/>
            <w:hideMark/>
          </w:tcPr>
          <w:p w14:paraId="2D72E46C"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4,792 </w:t>
            </w:r>
          </w:p>
        </w:tc>
      </w:tr>
      <w:tr w:rsidR="00921508" w:rsidRPr="00A013FC" w14:paraId="3FE3D4A9" w14:textId="77777777" w:rsidTr="00F10848">
        <w:trPr>
          <w:trHeight w:val="210"/>
          <w:jc w:val="center"/>
        </w:trPr>
        <w:tc>
          <w:tcPr>
            <w:tcW w:w="1640" w:type="dxa"/>
            <w:shd w:val="clear" w:color="auto" w:fill="auto"/>
            <w:noWrap/>
            <w:vAlign w:val="bottom"/>
            <w:hideMark/>
          </w:tcPr>
          <w:p w14:paraId="5D47E3F1"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2A0074AF"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6E893922"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5749</w:t>
            </w:r>
          </w:p>
        </w:tc>
        <w:tc>
          <w:tcPr>
            <w:tcW w:w="1528" w:type="dxa"/>
            <w:shd w:val="clear" w:color="auto" w:fill="auto"/>
            <w:noWrap/>
            <w:vAlign w:val="bottom"/>
            <w:hideMark/>
          </w:tcPr>
          <w:p w14:paraId="2161CC3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11,989 </w:t>
            </w:r>
          </w:p>
        </w:tc>
      </w:tr>
      <w:tr w:rsidR="00921508" w:rsidRPr="00A013FC" w14:paraId="791A3B3C" w14:textId="77777777" w:rsidTr="00F10848">
        <w:trPr>
          <w:trHeight w:val="210"/>
          <w:jc w:val="center"/>
        </w:trPr>
        <w:tc>
          <w:tcPr>
            <w:tcW w:w="1640" w:type="dxa"/>
            <w:shd w:val="clear" w:color="auto" w:fill="auto"/>
            <w:noWrap/>
            <w:vAlign w:val="bottom"/>
            <w:hideMark/>
          </w:tcPr>
          <w:p w14:paraId="22623535"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2C9FF59E"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0F9E6D31"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5039</w:t>
            </w:r>
          </w:p>
        </w:tc>
        <w:tc>
          <w:tcPr>
            <w:tcW w:w="1528" w:type="dxa"/>
            <w:shd w:val="clear" w:color="auto" w:fill="auto"/>
            <w:noWrap/>
            <w:vAlign w:val="bottom"/>
            <w:hideMark/>
          </w:tcPr>
          <w:p w14:paraId="4BCFAC8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20,396 </w:t>
            </w:r>
          </w:p>
        </w:tc>
      </w:tr>
      <w:tr w:rsidR="00921508" w:rsidRPr="00A013FC" w14:paraId="09F40E44" w14:textId="77777777" w:rsidTr="00F10848">
        <w:trPr>
          <w:trHeight w:val="210"/>
          <w:jc w:val="center"/>
        </w:trPr>
        <w:tc>
          <w:tcPr>
            <w:tcW w:w="1640" w:type="dxa"/>
            <w:shd w:val="clear" w:color="auto" w:fill="auto"/>
            <w:noWrap/>
            <w:vAlign w:val="bottom"/>
            <w:hideMark/>
          </w:tcPr>
          <w:p w14:paraId="7E5F7397"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2EE25F5E"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3D716833"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5503</w:t>
            </w:r>
          </w:p>
        </w:tc>
        <w:tc>
          <w:tcPr>
            <w:tcW w:w="1528" w:type="dxa"/>
            <w:shd w:val="clear" w:color="auto" w:fill="auto"/>
            <w:noWrap/>
            <w:vAlign w:val="bottom"/>
            <w:hideMark/>
          </w:tcPr>
          <w:p w14:paraId="42B7383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32,233 </w:t>
            </w:r>
          </w:p>
        </w:tc>
      </w:tr>
      <w:tr w:rsidR="00921508" w:rsidRPr="00A013FC" w14:paraId="1FAFD420" w14:textId="77777777" w:rsidTr="00F10848">
        <w:trPr>
          <w:trHeight w:val="210"/>
          <w:jc w:val="center"/>
        </w:trPr>
        <w:tc>
          <w:tcPr>
            <w:tcW w:w="1640" w:type="dxa"/>
            <w:shd w:val="clear" w:color="auto" w:fill="auto"/>
            <w:noWrap/>
            <w:vAlign w:val="bottom"/>
            <w:hideMark/>
          </w:tcPr>
          <w:p w14:paraId="72D40557"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4ADDD51D"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3B4592C6"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7129</w:t>
            </w:r>
          </w:p>
        </w:tc>
        <w:tc>
          <w:tcPr>
            <w:tcW w:w="1528" w:type="dxa"/>
            <w:shd w:val="clear" w:color="auto" w:fill="auto"/>
            <w:noWrap/>
            <w:vAlign w:val="bottom"/>
            <w:hideMark/>
          </w:tcPr>
          <w:p w14:paraId="771C9C94"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15,202 </w:t>
            </w:r>
          </w:p>
        </w:tc>
      </w:tr>
      <w:tr w:rsidR="00921508" w:rsidRPr="00A013FC" w14:paraId="6D435443" w14:textId="77777777" w:rsidTr="00F10848">
        <w:trPr>
          <w:trHeight w:val="210"/>
          <w:jc w:val="center"/>
        </w:trPr>
        <w:tc>
          <w:tcPr>
            <w:tcW w:w="1640" w:type="dxa"/>
            <w:shd w:val="clear" w:color="auto" w:fill="auto"/>
            <w:noWrap/>
            <w:vAlign w:val="bottom"/>
            <w:hideMark/>
          </w:tcPr>
          <w:p w14:paraId="37699AEE"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696964FD"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0B543786"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9693</w:t>
            </w:r>
          </w:p>
        </w:tc>
        <w:tc>
          <w:tcPr>
            <w:tcW w:w="1528" w:type="dxa"/>
            <w:shd w:val="clear" w:color="auto" w:fill="auto"/>
            <w:noWrap/>
            <w:vAlign w:val="bottom"/>
            <w:hideMark/>
          </w:tcPr>
          <w:p w14:paraId="38E2BB97"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170,129 </w:t>
            </w:r>
          </w:p>
        </w:tc>
      </w:tr>
      <w:tr w:rsidR="00921508" w:rsidRPr="00A013FC" w14:paraId="2D20C78E" w14:textId="77777777" w:rsidTr="00F10848">
        <w:trPr>
          <w:trHeight w:val="210"/>
          <w:jc w:val="center"/>
        </w:trPr>
        <w:tc>
          <w:tcPr>
            <w:tcW w:w="1640" w:type="dxa"/>
            <w:shd w:val="clear" w:color="auto" w:fill="auto"/>
            <w:noWrap/>
            <w:vAlign w:val="bottom"/>
            <w:hideMark/>
          </w:tcPr>
          <w:p w14:paraId="4B048853"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07EEA6E8"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BANORTE</w:t>
            </w:r>
          </w:p>
        </w:tc>
        <w:tc>
          <w:tcPr>
            <w:tcW w:w="1260" w:type="dxa"/>
            <w:shd w:val="clear" w:color="auto" w:fill="auto"/>
            <w:noWrap/>
            <w:vAlign w:val="bottom"/>
            <w:hideMark/>
          </w:tcPr>
          <w:p w14:paraId="6985C215"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4226</w:t>
            </w:r>
          </w:p>
        </w:tc>
        <w:tc>
          <w:tcPr>
            <w:tcW w:w="1528" w:type="dxa"/>
            <w:shd w:val="clear" w:color="auto" w:fill="auto"/>
            <w:noWrap/>
            <w:vAlign w:val="bottom"/>
            <w:hideMark/>
          </w:tcPr>
          <w:p w14:paraId="4B739B7C"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29,554 </w:t>
            </w:r>
          </w:p>
        </w:tc>
      </w:tr>
      <w:tr w:rsidR="00921508" w:rsidRPr="00A013FC" w14:paraId="5EF02B16" w14:textId="77777777" w:rsidTr="00F10848">
        <w:trPr>
          <w:trHeight w:val="210"/>
          <w:jc w:val="center"/>
        </w:trPr>
        <w:tc>
          <w:tcPr>
            <w:tcW w:w="1640" w:type="dxa"/>
            <w:shd w:val="clear" w:color="auto" w:fill="auto"/>
            <w:noWrap/>
            <w:vAlign w:val="bottom"/>
            <w:hideMark/>
          </w:tcPr>
          <w:p w14:paraId="5D944E74"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1D929701"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BANCOMER</w:t>
            </w:r>
          </w:p>
        </w:tc>
        <w:tc>
          <w:tcPr>
            <w:tcW w:w="1260" w:type="dxa"/>
            <w:shd w:val="clear" w:color="auto" w:fill="auto"/>
            <w:noWrap/>
            <w:vAlign w:val="bottom"/>
            <w:hideMark/>
          </w:tcPr>
          <w:p w14:paraId="1BB7B331"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4238</w:t>
            </w:r>
          </w:p>
        </w:tc>
        <w:tc>
          <w:tcPr>
            <w:tcW w:w="1528" w:type="dxa"/>
            <w:shd w:val="clear" w:color="auto" w:fill="auto"/>
            <w:noWrap/>
            <w:vAlign w:val="bottom"/>
            <w:hideMark/>
          </w:tcPr>
          <w:p w14:paraId="7162309F"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50,689 </w:t>
            </w:r>
          </w:p>
        </w:tc>
      </w:tr>
      <w:tr w:rsidR="00921508" w:rsidRPr="00A013FC" w14:paraId="3E98571B" w14:textId="77777777" w:rsidTr="00F10848">
        <w:trPr>
          <w:trHeight w:val="210"/>
          <w:jc w:val="center"/>
        </w:trPr>
        <w:tc>
          <w:tcPr>
            <w:tcW w:w="1640" w:type="dxa"/>
            <w:shd w:val="clear" w:color="auto" w:fill="auto"/>
            <w:noWrap/>
            <w:vAlign w:val="bottom"/>
            <w:hideMark/>
          </w:tcPr>
          <w:p w14:paraId="3EB1D76A"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47A1D0FA"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BANCOMER</w:t>
            </w:r>
          </w:p>
        </w:tc>
        <w:tc>
          <w:tcPr>
            <w:tcW w:w="1260" w:type="dxa"/>
            <w:shd w:val="clear" w:color="auto" w:fill="auto"/>
            <w:noWrap/>
            <w:vAlign w:val="bottom"/>
            <w:hideMark/>
          </w:tcPr>
          <w:p w14:paraId="25DAEE00"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3926</w:t>
            </w:r>
          </w:p>
        </w:tc>
        <w:tc>
          <w:tcPr>
            <w:tcW w:w="1528" w:type="dxa"/>
            <w:shd w:val="clear" w:color="auto" w:fill="auto"/>
            <w:noWrap/>
            <w:vAlign w:val="bottom"/>
            <w:hideMark/>
          </w:tcPr>
          <w:p w14:paraId="5AE92E0C"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54,992 </w:t>
            </w:r>
          </w:p>
        </w:tc>
      </w:tr>
      <w:tr w:rsidR="00921508" w:rsidRPr="00A013FC" w14:paraId="04E84859" w14:textId="77777777" w:rsidTr="00F10848">
        <w:trPr>
          <w:trHeight w:val="210"/>
          <w:jc w:val="center"/>
        </w:trPr>
        <w:tc>
          <w:tcPr>
            <w:tcW w:w="1640" w:type="dxa"/>
            <w:shd w:val="clear" w:color="auto" w:fill="auto"/>
            <w:noWrap/>
            <w:vAlign w:val="bottom"/>
            <w:hideMark/>
          </w:tcPr>
          <w:p w14:paraId="75526AFE"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75DF7759" w14:textId="77777777" w:rsidR="00921508" w:rsidRPr="00A013FC" w:rsidRDefault="00921508" w:rsidP="00F10848">
            <w:pPr>
              <w:spacing w:after="0" w:line="240" w:lineRule="auto"/>
              <w:rPr>
                <w:rFonts w:ascii="Cambria" w:eastAsia="Times New Roman" w:hAnsi="Cambria" w:cs="Calibri"/>
                <w:color w:val="000000"/>
                <w:sz w:val="16"/>
                <w:szCs w:val="16"/>
                <w:lang w:eastAsia="es-MX"/>
              </w:rPr>
            </w:pPr>
            <w:r w:rsidRPr="00A013FC">
              <w:rPr>
                <w:rFonts w:ascii="Cambria" w:eastAsia="Times New Roman" w:hAnsi="Cambria" w:cs="Calibri"/>
                <w:color w:val="000000"/>
                <w:sz w:val="16"/>
                <w:szCs w:val="16"/>
                <w:lang w:eastAsia="es-MX"/>
              </w:rPr>
              <w:t>SANTANDER SERFIN</w:t>
            </w:r>
          </w:p>
        </w:tc>
        <w:tc>
          <w:tcPr>
            <w:tcW w:w="1260" w:type="dxa"/>
            <w:shd w:val="clear" w:color="auto" w:fill="auto"/>
            <w:noWrap/>
            <w:vAlign w:val="bottom"/>
            <w:hideMark/>
          </w:tcPr>
          <w:p w14:paraId="18F292E3"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6397</w:t>
            </w:r>
          </w:p>
        </w:tc>
        <w:tc>
          <w:tcPr>
            <w:tcW w:w="1528" w:type="dxa"/>
            <w:shd w:val="clear" w:color="auto" w:fill="auto"/>
            <w:noWrap/>
            <w:vAlign w:val="bottom"/>
            <w:hideMark/>
          </w:tcPr>
          <w:p w14:paraId="2CF9C431"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30,000,000 </w:t>
            </w:r>
          </w:p>
        </w:tc>
      </w:tr>
      <w:tr w:rsidR="00921508" w:rsidRPr="00A013FC" w14:paraId="386E4D6A" w14:textId="77777777" w:rsidTr="00F10848">
        <w:trPr>
          <w:trHeight w:val="210"/>
          <w:jc w:val="center"/>
        </w:trPr>
        <w:tc>
          <w:tcPr>
            <w:tcW w:w="1640" w:type="dxa"/>
            <w:shd w:val="clear" w:color="auto" w:fill="auto"/>
            <w:noWrap/>
            <w:vAlign w:val="bottom"/>
            <w:hideMark/>
          </w:tcPr>
          <w:p w14:paraId="5E2C28D1"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5F26B363" w14:textId="77777777" w:rsidR="00921508" w:rsidRPr="00A013FC" w:rsidRDefault="00921508" w:rsidP="00F10848">
            <w:pPr>
              <w:spacing w:after="0" w:line="240" w:lineRule="auto"/>
              <w:rPr>
                <w:rFonts w:ascii="Cambria" w:eastAsia="Times New Roman" w:hAnsi="Cambria" w:cs="Calibri"/>
                <w:color w:val="000000"/>
                <w:sz w:val="16"/>
                <w:szCs w:val="16"/>
                <w:lang w:eastAsia="es-MX"/>
              </w:rPr>
            </w:pPr>
            <w:r w:rsidRPr="00A013FC">
              <w:rPr>
                <w:rFonts w:ascii="Cambria" w:eastAsia="Times New Roman" w:hAnsi="Cambria" w:cs="Calibri"/>
                <w:color w:val="000000"/>
                <w:sz w:val="16"/>
                <w:szCs w:val="16"/>
                <w:lang w:eastAsia="es-MX"/>
              </w:rPr>
              <w:t>SANTANDER SERFIN</w:t>
            </w:r>
          </w:p>
        </w:tc>
        <w:tc>
          <w:tcPr>
            <w:tcW w:w="1260" w:type="dxa"/>
            <w:shd w:val="clear" w:color="auto" w:fill="auto"/>
            <w:noWrap/>
            <w:vAlign w:val="bottom"/>
            <w:hideMark/>
          </w:tcPr>
          <w:p w14:paraId="6ABCD885"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6488</w:t>
            </w:r>
          </w:p>
        </w:tc>
        <w:tc>
          <w:tcPr>
            <w:tcW w:w="1528" w:type="dxa"/>
            <w:shd w:val="clear" w:color="auto" w:fill="auto"/>
            <w:noWrap/>
            <w:vAlign w:val="bottom"/>
            <w:hideMark/>
          </w:tcPr>
          <w:p w14:paraId="69CB544F"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37,642 </w:t>
            </w:r>
          </w:p>
        </w:tc>
      </w:tr>
      <w:tr w:rsidR="00921508" w:rsidRPr="00A013FC" w14:paraId="1CA91F98" w14:textId="77777777" w:rsidTr="00F10848">
        <w:trPr>
          <w:trHeight w:val="210"/>
          <w:jc w:val="center"/>
        </w:trPr>
        <w:tc>
          <w:tcPr>
            <w:tcW w:w="1640" w:type="dxa"/>
            <w:shd w:val="clear" w:color="auto" w:fill="auto"/>
            <w:noWrap/>
            <w:vAlign w:val="bottom"/>
            <w:hideMark/>
          </w:tcPr>
          <w:p w14:paraId="7A9CB8DD"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696D02EC"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SANTANDER SERFIN</w:t>
            </w:r>
          </w:p>
        </w:tc>
        <w:tc>
          <w:tcPr>
            <w:tcW w:w="1260" w:type="dxa"/>
            <w:shd w:val="clear" w:color="auto" w:fill="auto"/>
            <w:noWrap/>
            <w:vAlign w:val="bottom"/>
            <w:hideMark/>
          </w:tcPr>
          <w:p w14:paraId="161615B1"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3503</w:t>
            </w:r>
          </w:p>
        </w:tc>
        <w:tc>
          <w:tcPr>
            <w:tcW w:w="1528" w:type="dxa"/>
            <w:shd w:val="clear" w:color="auto" w:fill="auto"/>
            <w:noWrap/>
            <w:vAlign w:val="bottom"/>
            <w:hideMark/>
          </w:tcPr>
          <w:p w14:paraId="684AE7BD"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5,786,255 </w:t>
            </w:r>
          </w:p>
        </w:tc>
      </w:tr>
      <w:tr w:rsidR="00921508" w:rsidRPr="00A013FC" w14:paraId="174CF067" w14:textId="77777777" w:rsidTr="00F10848">
        <w:trPr>
          <w:trHeight w:val="210"/>
          <w:jc w:val="center"/>
        </w:trPr>
        <w:tc>
          <w:tcPr>
            <w:tcW w:w="1640" w:type="dxa"/>
            <w:shd w:val="clear" w:color="auto" w:fill="auto"/>
            <w:noWrap/>
            <w:vAlign w:val="bottom"/>
            <w:hideMark/>
          </w:tcPr>
          <w:p w14:paraId="1F2DCD35"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3B262C91"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SANTANDER SERFIN</w:t>
            </w:r>
          </w:p>
        </w:tc>
        <w:tc>
          <w:tcPr>
            <w:tcW w:w="1260" w:type="dxa"/>
            <w:shd w:val="clear" w:color="auto" w:fill="auto"/>
            <w:noWrap/>
            <w:vAlign w:val="bottom"/>
            <w:hideMark/>
          </w:tcPr>
          <w:p w14:paraId="42888700"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4330</w:t>
            </w:r>
          </w:p>
        </w:tc>
        <w:tc>
          <w:tcPr>
            <w:tcW w:w="1528" w:type="dxa"/>
            <w:shd w:val="clear" w:color="auto" w:fill="auto"/>
            <w:noWrap/>
            <w:vAlign w:val="bottom"/>
            <w:hideMark/>
          </w:tcPr>
          <w:p w14:paraId="0AAFDA0E"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5,815 </w:t>
            </w:r>
          </w:p>
        </w:tc>
      </w:tr>
      <w:tr w:rsidR="00921508" w:rsidRPr="00A013FC" w14:paraId="1CF5FB01" w14:textId="77777777" w:rsidTr="00F10848">
        <w:trPr>
          <w:trHeight w:val="210"/>
          <w:jc w:val="center"/>
        </w:trPr>
        <w:tc>
          <w:tcPr>
            <w:tcW w:w="1640" w:type="dxa"/>
            <w:shd w:val="clear" w:color="auto" w:fill="auto"/>
            <w:noWrap/>
            <w:vAlign w:val="bottom"/>
            <w:hideMark/>
          </w:tcPr>
          <w:p w14:paraId="7DAF646C"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4CAC8E9A"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SCOTIABANK INVERLAT</w:t>
            </w:r>
          </w:p>
        </w:tc>
        <w:tc>
          <w:tcPr>
            <w:tcW w:w="1260" w:type="dxa"/>
            <w:shd w:val="clear" w:color="auto" w:fill="auto"/>
            <w:noWrap/>
            <w:vAlign w:val="bottom"/>
            <w:hideMark/>
          </w:tcPr>
          <w:p w14:paraId="12E77E18"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4019</w:t>
            </w:r>
          </w:p>
        </w:tc>
        <w:tc>
          <w:tcPr>
            <w:tcW w:w="1528" w:type="dxa"/>
            <w:shd w:val="clear" w:color="auto" w:fill="auto"/>
            <w:noWrap/>
            <w:vAlign w:val="bottom"/>
            <w:hideMark/>
          </w:tcPr>
          <w:p w14:paraId="55DD1185"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2 </w:t>
            </w:r>
          </w:p>
        </w:tc>
      </w:tr>
      <w:tr w:rsidR="00921508" w:rsidRPr="00A013FC" w14:paraId="25776D8E" w14:textId="77777777" w:rsidTr="00F10848">
        <w:trPr>
          <w:trHeight w:val="210"/>
          <w:jc w:val="center"/>
        </w:trPr>
        <w:tc>
          <w:tcPr>
            <w:tcW w:w="1640" w:type="dxa"/>
            <w:shd w:val="clear" w:color="auto" w:fill="auto"/>
            <w:noWrap/>
            <w:vAlign w:val="bottom"/>
            <w:hideMark/>
          </w:tcPr>
          <w:p w14:paraId="23AB071E"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733CD4C0"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SCOTIABANK INVERLAT</w:t>
            </w:r>
          </w:p>
        </w:tc>
        <w:tc>
          <w:tcPr>
            <w:tcW w:w="1260" w:type="dxa"/>
            <w:shd w:val="clear" w:color="auto" w:fill="auto"/>
            <w:noWrap/>
            <w:vAlign w:val="bottom"/>
            <w:hideMark/>
          </w:tcPr>
          <w:p w14:paraId="7FBAB532"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8166</w:t>
            </w:r>
          </w:p>
        </w:tc>
        <w:tc>
          <w:tcPr>
            <w:tcW w:w="1528" w:type="dxa"/>
            <w:shd w:val="clear" w:color="auto" w:fill="auto"/>
            <w:noWrap/>
            <w:vAlign w:val="bottom"/>
            <w:hideMark/>
          </w:tcPr>
          <w:p w14:paraId="38C62B49"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508,290 </w:t>
            </w:r>
          </w:p>
        </w:tc>
      </w:tr>
      <w:tr w:rsidR="00921508" w:rsidRPr="00A013FC" w14:paraId="7B77FBB2" w14:textId="77777777" w:rsidTr="00F10848">
        <w:trPr>
          <w:trHeight w:val="210"/>
          <w:jc w:val="center"/>
        </w:trPr>
        <w:tc>
          <w:tcPr>
            <w:tcW w:w="1640" w:type="dxa"/>
            <w:shd w:val="clear" w:color="auto" w:fill="auto"/>
            <w:noWrap/>
            <w:vAlign w:val="bottom"/>
            <w:hideMark/>
          </w:tcPr>
          <w:p w14:paraId="71B2B8D9"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706A5BFC"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SCOTIABANK INVERLAT</w:t>
            </w:r>
          </w:p>
        </w:tc>
        <w:tc>
          <w:tcPr>
            <w:tcW w:w="1260" w:type="dxa"/>
            <w:shd w:val="clear" w:color="auto" w:fill="auto"/>
            <w:noWrap/>
            <w:vAlign w:val="bottom"/>
            <w:hideMark/>
          </w:tcPr>
          <w:p w14:paraId="3B57B5D4"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3846</w:t>
            </w:r>
          </w:p>
        </w:tc>
        <w:tc>
          <w:tcPr>
            <w:tcW w:w="1528" w:type="dxa"/>
            <w:shd w:val="clear" w:color="auto" w:fill="auto"/>
            <w:noWrap/>
            <w:vAlign w:val="bottom"/>
            <w:hideMark/>
          </w:tcPr>
          <w:p w14:paraId="2EE7536B"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18,430,683 </w:t>
            </w:r>
          </w:p>
        </w:tc>
      </w:tr>
      <w:tr w:rsidR="00921508" w:rsidRPr="00A013FC" w14:paraId="42EC0B32" w14:textId="77777777" w:rsidTr="00F10848">
        <w:trPr>
          <w:trHeight w:val="210"/>
          <w:jc w:val="center"/>
        </w:trPr>
        <w:tc>
          <w:tcPr>
            <w:tcW w:w="1640" w:type="dxa"/>
            <w:shd w:val="clear" w:color="auto" w:fill="auto"/>
            <w:noWrap/>
            <w:vAlign w:val="bottom"/>
            <w:hideMark/>
          </w:tcPr>
          <w:p w14:paraId="44FFD4F9"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259A314C"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BANREGIO</w:t>
            </w:r>
          </w:p>
        </w:tc>
        <w:tc>
          <w:tcPr>
            <w:tcW w:w="1260" w:type="dxa"/>
            <w:shd w:val="clear" w:color="auto" w:fill="auto"/>
            <w:noWrap/>
            <w:vAlign w:val="bottom"/>
            <w:hideMark/>
          </w:tcPr>
          <w:p w14:paraId="2761E61C"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921508">
              <w:rPr>
                <w:rFonts w:ascii="Cambria" w:eastAsia="Times New Roman" w:hAnsi="Cambria" w:cs="Calibri"/>
                <w:sz w:val="16"/>
                <w:szCs w:val="16"/>
                <w:lang w:eastAsia="es-MX"/>
              </w:rPr>
              <w:t>0</w:t>
            </w:r>
            <w:r w:rsidRPr="00A013FC">
              <w:rPr>
                <w:rFonts w:ascii="Cambria" w:eastAsia="Times New Roman" w:hAnsi="Cambria" w:cs="Calibri"/>
                <w:sz w:val="16"/>
                <w:szCs w:val="16"/>
                <w:lang w:eastAsia="es-MX"/>
              </w:rPr>
              <w:t>144</w:t>
            </w:r>
          </w:p>
        </w:tc>
        <w:tc>
          <w:tcPr>
            <w:tcW w:w="1528" w:type="dxa"/>
            <w:shd w:val="clear" w:color="auto" w:fill="auto"/>
            <w:noWrap/>
            <w:vAlign w:val="bottom"/>
            <w:hideMark/>
          </w:tcPr>
          <w:p w14:paraId="71C58E2B"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9,033,780 </w:t>
            </w:r>
          </w:p>
        </w:tc>
      </w:tr>
      <w:tr w:rsidR="00921508" w:rsidRPr="00A013FC" w14:paraId="22919DDD" w14:textId="77777777" w:rsidTr="00F10848">
        <w:trPr>
          <w:trHeight w:val="210"/>
          <w:jc w:val="center"/>
        </w:trPr>
        <w:tc>
          <w:tcPr>
            <w:tcW w:w="1640" w:type="dxa"/>
            <w:shd w:val="clear" w:color="auto" w:fill="auto"/>
            <w:noWrap/>
            <w:vAlign w:val="bottom"/>
            <w:hideMark/>
          </w:tcPr>
          <w:p w14:paraId="74765580"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7ABB159E"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BANREGIO</w:t>
            </w:r>
          </w:p>
        </w:tc>
        <w:tc>
          <w:tcPr>
            <w:tcW w:w="1260" w:type="dxa"/>
            <w:shd w:val="clear" w:color="auto" w:fill="auto"/>
            <w:noWrap/>
            <w:vAlign w:val="bottom"/>
            <w:hideMark/>
          </w:tcPr>
          <w:p w14:paraId="763953FE"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921508">
              <w:rPr>
                <w:rFonts w:ascii="Cambria" w:eastAsia="Times New Roman" w:hAnsi="Cambria" w:cs="Calibri"/>
                <w:sz w:val="16"/>
                <w:szCs w:val="16"/>
                <w:lang w:eastAsia="es-MX"/>
              </w:rPr>
              <w:t>0</w:t>
            </w:r>
            <w:r w:rsidRPr="00A013FC">
              <w:rPr>
                <w:rFonts w:ascii="Cambria" w:eastAsia="Times New Roman" w:hAnsi="Cambria" w:cs="Calibri"/>
                <w:sz w:val="16"/>
                <w:szCs w:val="16"/>
                <w:lang w:eastAsia="es-MX"/>
              </w:rPr>
              <w:t>195</w:t>
            </w:r>
          </w:p>
        </w:tc>
        <w:tc>
          <w:tcPr>
            <w:tcW w:w="1528" w:type="dxa"/>
            <w:shd w:val="clear" w:color="auto" w:fill="auto"/>
            <w:noWrap/>
            <w:vAlign w:val="bottom"/>
            <w:hideMark/>
          </w:tcPr>
          <w:p w14:paraId="10583262"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26,727 </w:t>
            </w:r>
          </w:p>
        </w:tc>
      </w:tr>
      <w:tr w:rsidR="00921508" w:rsidRPr="00A013FC" w14:paraId="12C8CB91" w14:textId="77777777" w:rsidTr="00F10848">
        <w:trPr>
          <w:trHeight w:val="210"/>
          <w:jc w:val="center"/>
        </w:trPr>
        <w:tc>
          <w:tcPr>
            <w:tcW w:w="1640" w:type="dxa"/>
            <w:shd w:val="clear" w:color="auto" w:fill="auto"/>
            <w:noWrap/>
            <w:vAlign w:val="bottom"/>
            <w:hideMark/>
          </w:tcPr>
          <w:p w14:paraId="4761ECF8"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12CCBD17"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537ECA69"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8425</w:t>
            </w:r>
          </w:p>
        </w:tc>
        <w:tc>
          <w:tcPr>
            <w:tcW w:w="1528" w:type="dxa"/>
            <w:shd w:val="clear" w:color="auto" w:fill="auto"/>
            <w:noWrap/>
            <w:vAlign w:val="bottom"/>
            <w:hideMark/>
          </w:tcPr>
          <w:p w14:paraId="4227FAAE"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134,977 </w:t>
            </w:r>
          </w:p>
        </w:tc>
      </w:tr>
      <w:tr w:rsidR="00921508" w:rsidRPr="00A013FC" w14:paraId="100E056B" w14:textId="77777777" w:rsidTr="00F10848">
        <w:trPr>
          <w:trHeight w:val="210"/>
          <w:jc w:val="center"/>
        </w:trPr>
        <w:tc>
          <w:tcPr>
            <w:tcW w:w="1640" w:type="dxa"/>
            <w:shd w:val="clear" w:color="auto" w:fill="auto"/>
            <w:noWrap/>
            <w:vAlign w:val="bottom"/>
            <w:hideMark/>
          </w:tcPr>
          <w:p w14:paraId="3C3631CC"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06213AD3"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43DA70B7"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8499</w:t>
            </w:r>
          </w:p>
        </w:tc>
        <w:tc>
          <w:tcPr>
            <w:tcW w:w="1528" w:type="dxa"/>
            <w:shd w:val="clear" w:color="auto" w:fill="auto"/>
            <w:noWrap/>
            <w:vAlign w:val="bottom"/>
            <w:hideMark/>
          </w:tcPr>
          <w:p w14:paraId="2E2301EF"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365,096 </w:t>
            </w:r>
          </w:p>
        </w:tc>
      </w:tr>
      <w:tr w:rsidR="00921508" w:rsidRPr="00A013FC" w14:paraId="6B8A0E32" w14:textId="77777777" w:rsidTr="00F10848">
        <w:trPr>
          <w:trHeight w:val="210"/>
          <w:jc w:val="center"/>
        </w:trPr>
        <w:tc>
          <w:tcPr>
            <w:tcW w:w="1640" w:type="dxa"/>
            <w:shd w:val="clear" w:color="auto" w:fill="auto"/>
            <w:noWrap/>
            <w:vAlign w:val="bottom"/>
            <w:hideMark/>
          </w:tcPr>
          <w:p w14:paraId="04F29A50"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6A16AAA1"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029CCBD7"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1642</w:t>
            </w:r>
          </w:p>
        </w:tc>
        <w:tc>
          <w:tcPr>
            <w:tcW w:w="1528" w:type="dxa"/>
            <w:shd w:val="clear" w:color="auto" w:fill="auto"/>
            <w:noWrap/>
            <w:vAlign w:val="bottom"/>
            <w:hideMark/>
          </w:tcPr>
          <w:p w14:paraId="5444B96B"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429,177 </w:t>
            </w:r>
          </w:p>
        </w:tc>
      </w:tr>
      <w:tr w:rsidR="00921508" w:rsidRPr="00A013FC" w14:paraId="38114611" w14:textId="77777777" w:rsidTr="00F10848">
        <w:trPr>
          <w:trHeight w:val="210"/>
          <w:jc w:val="center"/>
        </w:trPr>
        <w:tc>
          <w:tcPr>
            <w:tcW w:w="1640" w:type="dxa"/>
            <w:shd w:val="clear" w:color="auto" w:fill="auto"/>
            <w:noWrap/>
            <w:vAlign w:val="bottom"/>
            <w:hideMark/>
          </w:tcPr>
          <w:p w14:paraId="2A4F7A38" w14:textId="77777777" w:rsidR="00921508" w:rsidRPr="00A013FC" w:rsidRDefault="00921508" w:rsidP="00F10848">
            <w:pPr>
              <w:spacing w:after="0" w:line="240" w:lineRule="auto"/>
              <w:rPr>
                <w:rFonts w:ascii="Cambria" w:eastAsia="Times New Roman" w:hAnsi="Cambria" w:cs="Calibri"/>
                <w:b/>
                <w:bCs/>
                <w:sz w:val="16"/>
                <w:szCs w:val="16"/>
                <w:lang w:eastAsia="es-MX"/>
              </w:rPr>
            </w:pPr>
            <w:r w:rsidRPr="00A013FC">
              <w:rPr>
                <w:rFonts w:ascii="Cambria" w:eastAsia="Times New Roman" w:hAnsi="Cambria" w:cs="Calibri"/>
                <w:b/>
                <w:bCs/>
                <w:sz w:val="16"/>
                <w:szCs w:val="16"/>
                <w:lang w:eastAsia="es-MX"/>
              </w:rPr>
              <w:t> </w:t>
            </w:r>
          </w:p>
        </w:tc>
        <w:tc>
          <w:tcPr>
            <w:tcW w:w="1722" w:type="dxa"/>
            <w:shd w:val="clear" w:color="auto" w:fill="auto"/>
            <w:noWrap/>
            <w:vAlign w:val="bottom"/>
            <w:hideMark/>
          </w:tcPr>
          <w:p w14:paraId="4610791B" w14:textId="77777777" w:rsidR="00921508" w:rsidRPr="00A013FC" w:rsidRDefault="00921508" w:rsidP="00F10848">
            <w:pPr>
              <w:spacing w:after="0" w:line="240" w:lineRule="auto"/>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HSBC</w:t>
            </w:r>
          </w:p>
        </w:tc>
        <w:tc>
          <w:tcPr>
            <w:tcW w:w="1260" w:type="dxa"/>
            <w:shd w:val="clear" w:color="auto" w:fill="auto"/>
            <w:noWrap/>
            <w:vAlign w:val="bottom"/>
            <w:hideMark/>
          </w:tcPr>
          <w:p w14:paraId="0102D495" w14:textId="77777777" w:rsidR="00921508" w:rsidRPr="00A013FC" w:rsidRDefault="00921508" w:rsidP="00F10848">
            <w:pPr>
              <w:spacing w:after="0" w:line="240" w:lineRule="auto"/>
              <w:jc w:val="center"/>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1865</w:t>
            </w:r>
          </w:p>
        </w:tc>
        <w:tc>
          <w:tcPr>
            <w:tcW w:w="1528" w:type="dxa"/>
            <w:shd w:val="clear" w:color="auto" w:fill="auto"/>
            <w:noWrap/>
            <w:vAlign w:val="bottom"/>
            <w:hideMark/>
          </w:tcPr>
          <w:p w14:paraId="64A20E73"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79,940,140 </w:t>
            </w:r>
          </w:p>
        </w:tc>
      </w:tr>
      <w:tr w:rsidR="00921508" w:rsidRPr="00A013FC" w14:paraId="28206689" w14:textId="77777777" w:rsidTr="00F10848">
        <w:trPr>
          <w:trHeight w:val="210"/>
          <w:jc w:val="center"/>
        </w:trPr>
        <w:tc>
          <w:tcPr>
            <w:tcW w:w="4622" w:type="dxa"/>
            <w:gridSpan w:val="3"/>
            <w:shd w:val="clear" w:color="000000" w:fill="FFFFFF"/>
            <w:noWrap/>
            <w:vAlign w:val="center"/>
            <w:hideMark/>
          </w:tcPr>
          <w:p w14:paraId="09B9DBE3" w14:textId="77777777" w:rsidR="00921508" w:rsidRPr="00A013FC" w:rsidRDefault="00921508" w:rsidP="009B59FD">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TOTAL</w:t>
            </w:r>
          </w:p>
        </w:tc>
        <w:tc>
          <w:tcPr>
            <w:tcW w:w="1528" w:type="dxa"/>
            <w:shd w:val="clear" w:color="000000" w:fill="FFFFFF"/>
            <w:noWrap/>
            <w:vAlign w:val="center"/>
            <w:hideMark/>
          </w:tcPr>
          <w:p w14:paraId="3A35418C" w14:textId="77777777" w:rsidR="00921508" w:rsidRPr="00A013FC" w:rsidRDefault="00921508" w:rsidP="00F10848">
            <w:pPr>
              <w:spacing w:after="0" w:line="240" w:lineRule="auto"/>
              <w:jc w:val="right"/>
              <w:rPr>
                <w:rFonts w:ascii="Cambria" w:eastAsia="Times New Roman" w:hAnsi="Cambria" w:cs="Calibri"/>
                <w:sz w:val="16"/>
                <w:szCs w:val="16"/>
                <w:lang w:eastAsia="es-MX"/>
              </w:rPr>
            </w:pPr>
            <w:r w:rsidRPr="00A013FC">
              <w:rPr>
                <w:rFonts w:ascii="Cambria" w:eastAsia="Times New Roman" w:hAnsi="Cambria" w:cs="Calibri"/>
                <w:sz w:val="16"/>
                <w:szCs w:val="16"/>
                <w:lang w:eastAsia="es-MX"/>
              </w:rPr>
              <w:t xml:space="preserve"> $          334,821,898 </w:t>
            </w:r>
          </w:p>
        </w:tc>
      </w:tr>
      <w:bookmarkEnd w:id="0"/>
    </w:tbl>
    <w:p w14:paraId="1636C5A8" w14:textId="77777777" w:rsidR="001B4D78" w:rsidRDefault="001B4D78" w:rsidP="00F60F46">
      <w:pPr>
        <w:pStyle w:val="Texto"/>
        <w:spacing w:after="80" w:line="203" w:lineRule="exact"/>
        <w:ind w:left="1429" w:firstLine="0"/>
        <w:rPr>
          <w:rFonts w:ascii="Cambria" w:hAnsi="Cambria" w:cs="DIN Pro Regular"/>
          <w:bCs/>
          <w:sz w:val="20"/>
        </w:rPr>
      </w:pPr>
    </w:p>
    <w:p w14:paraId="4B56FC72" w14:textId="77777777" w:rsidR="00D07CC7" w:rsidRDefault="00D07CC7" w:rsidP="00F60F46">
      <w:pPr>
        <w:pStyle w:val="Texto"/>
        <w:spacing w:after="80" w:line="203" w:lineRule="exact"/>
        <w:ind w:left="1429" w:firstLine="0"/>
        <w:rPr>
          <w:rFonts w:ascii="Cambria" w:hAnsi="Cambria" w:cs="DIN Pro Regular"/>
          <w:bCs/>
          <w:sz w:val="20"/>
        </w:rPr>
      </w:pPr>
    </w:p>
    <w:p w14:paraId="75F068C9" w14:textId="5A3DC95C" w:rsidR="00414654" w:rsidRPr="005B2D52" w:rsidRDefault="00414654" w:rsidP="00557E8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77360D0E"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B7195D">
        <w:rPr>
          <w:rFonts w:ascii="Cambria" w:hAnsi="Cambria" w:cs="DIN Pro Regular"/>
          <w:sz w:val="20"/>
          <w:szCs w:val="20"/>
        </w:rPr>
        <w:t>31 de diciembre</w:t>
      </w:r>
      <w:r w:rsidR="00824479" w:rsidRPr="005B2D52">
        <w:rPr>
          <w:rFonts w:ascii="Cambria" w:hAnsi="Cambria" w:cs="DIN Pro Regular"/>
          <w:sz w:val="20"/>
          <w:szCs w:val="20"/>
        </w:rPr>
        <w:t xml:space="preserve"> de </w:t>
      </w:r>
      <w:r w:rsidR="00557E84">
        <w:rPr>
          <w:rFonts w:ascii="Cambria" w:hAnsi="Cambria" w:cs="DIN Pro Regular"/>
          <w:sz w:val="20"/>
          <w:szCs w:val="20"/>
        </w:rPr>
        <w:t>2023</w:t>
      </w:r>
      <w:r w:rsidR="00414654" w:rsidRPr="005B2D52">
        <w:rPr>
          <w:rFonts w:ascii="Cambria" w:hAnsi="Cambria" w:cs="DIN Pro Regular"/>
          <w:sz w:val="20"/>
          <w:szCs w:val="20"/>
        </w:rPr>
        <w:t>, esta cuenta tiene un saldo de $</w:t>
      </w:r>
      <w:r w:rsidR="00026ED1">
        <w:rPr>
          <w:rFonts w:ascii="Cambria" w:hAnsi="Cambria" w:cs="DIN Pro Regular"/>
          <w:sz w:val="20"/>
          <w:szCs w:val="20"/>
        </w:rPr>
        <w:t>4</w:t>
      </w:r>
      <w:r w:rsidR="00414654" w:rsidRPr="005B2D52">
        <w:rPr>
          <w:rFonts w:ascii="Cambria" w:hAnsi="Cambria" w:cs="DIN Pro Regular"/>
          <w:sz w:val="20"/>
          <w:szCs w:val="20"/>
        </w:rPr>
        <w:t>,</w:t>
      </w:r>
      <w:r w:rsidR="00026ED1">
        <w:rPr>
          <w:rFonts w:ascii="Cambria" w:hAnsi="Cambria" w:cs="DIN Pro Regular"/>
          <w:sz w:val="20"/>
          <w:szCs w:val="20"/>
        </w:rPr>
        <w:t>575</w:t>
      </w:r>
      <w:r w:rsidR="00414654" w:rsidRPr="005B2D52">
        <w:rPr>
          <w:rFonts w:ascii="Cambria" w:hAnsi="Cambria" w:cs="DIN Pro Regular"/>
          <w:sz w:val="20"/>
          <w:szCs w:val="20"/>
        </w:rPr>
        <w:t>,</w:t>
      </w:r>
      <w:r w:rsidR="00026ED1">
        <w:rPr>
          <w:rFonts w:ascii="Cambria" w:hAnsi="Cambria" w:cs="DIN Pro Regular"/>
          <w:sz w:val="20"/>
          <w:szCs w:val="20"/>
        </w:rPr>
        <w:t>668</w:t>
      </w:r>
      <w:r w:rsidR="00414654" w:rsidRPr="005B2D52">
        <w:rPr>
          <w:rFonts w:ascii="Cambria" w:hAnsi="Cambria" w:cs="DIN Pro Regular"/>
          <w:sz w:val="20"/>
          <w:szCs w:val="20"/>
        </w:rPr>
        <w:t xml:space="preserve"> pesos y se integra de la siguiente manera:</w:t>
      </w:r>
    </w:p>
    <w:tbl>
      <w:tblPr>
        <w:tblW w:w="6521" w:type="dxa"/>
        <w:jc w:val="center"/>
        <w:tblCellMar>
          <w:left w:w="70" w:type="dxa"/>
          <w:right w:w="70" w:type="dxa"/>
        </w:tblCellMar>
        <w:tblLook w:val="04A0" w:firstRow="1" w:lastRow="0" w:firstColumn="1" w:lastColumn="0" w:noHBand="0" w:noVBand="1"/>
      </w:tblPr>
      <w:tblGrid>
        <w:gridCol w:w="2263"/>
        <w:gridCol w:w="2699"/>
        <w:gridCol w:w="1559"/>
      </w:tblGrid>
      <w:tr w:rsidR="00026ED1" w:rsidRPr="00510FE3" w14:paraId="7E2136BF" w14:textId="77777777" w:rsidTr="00F10848">
        <w:trPr>
          <w:trHeight w:val="210"/>
          <w:jc w:val="center"/>
        </w:trPr>
        <w:tc>
          <w:tcPr>
            <w:tcW w:w="2263"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45A5439" w14:textId="77777777" w:rsidR="00026ED1" w:rsidRPr="00510FE3" w:rsidRDefault="00026ED1" w:rsidP="00F10848">
            <w:pPr>
              <w:spacing w:after="0" w:line="240" w:lineRule="auto"/>
              <w:jc w:val="center"/>
              <w:rPr>
                <w:rFonts w:ascii="Cambria" w:eastAsia="Times New Roman" w:hAnsi="Cambria" w:cs="Calibri"/>
                <w:b/>
                <w:bCs/>
                <w:color w:val="FFFFFF"/>
                <w:sz w:val="16"/>
                <w:szCs w:val="16"/>
                <w:lang w:eastAsia="es-MX"/>
              </w:rPr>
            </w:pPr>
            <w:r w:rsidRPr="00510FE3">
              <w:rPr>
                <w:rFonts w:ascii="Cambria" w:eastAsia="Times New Roman" w:hAnsi="Cambria" w:cs="Calibri"/>
                <w:b/>
                <w:bCs/>
                <w:color w:val="FFFFFF"/>
                <w:sz w:val="16"/>
                <w:szCs w:val="16"/>
                <w:lang w:eastAsia="es-MX"/>
              </w:rPr>
              <w:t>ORIGEN DEL RECURSO</w:t>
            </w:r>
          </w:p>
        </w:tc>
        <w:tc>
          <w:tcPr>
            <w:tcW w:w="2699" w:type="dxa"/>
            <w:tcBorders>
              <w:top w:val="single" w:sz="4" w:space="0" w:color="auto"/>
              <w:left w:val="nil"/>
              <w:bottom w:val="single" w:sz="4" w:space="0" w:color="auto"/>
              <w:right w:val="single" w:sz="4" w:space="0" w:color="auto"/>
            </w:tcBorders>
            <w:shd w:val="clear" w:color="000000" w:fill="1F497D"/>
            <w:noWrap/>
            <w:vAlign w:val="center"/>
            <w:hideMark/>
          </w:tcPr>
          <w:p w14:paraId="385DCA6D" w14:textId="77777777" w:rsidR="00026ED1" w:rsidRPr="00510FE3" w:rsidRDefault="00026ED1" w:rsidP="00F10848">
            <w:pPr>
              <w:spacing w:after="0" w:line="240" w:lineRule="auto"/>
              <w:jc w:val="center"/>
              <w:rPr>
                <w:rFonts w:ascii="Cambria" w:eastAsia="Times New Roman" w:hAnsi="Cambria" w:cs="Calibri"/>
                <w:b/>
                <w:bCs/>
                <w:color w:val="FFFFFF"/>
                <w:sz w:val="16"/>
                <w:szCs w:val="16"/>
                <w:lang w:eastAsia="es-MX"/>
              </w:rPr>
            </w:pPr>
            <w:r w:rsidRPr="00510FE3">
              <w:rPr>
                <w:rFonts w:ascii="Cambria" w:eastAsia="Times New Roman" w:hAnsi="Cambria" w:cs="Calibri"/>
                <w:b/>
                <w:bCs/>
                <w:color w:val="FFFFFF"/>
                <w:sz w:val="16"/>
                <w:szCs w:val="16"/>
                <w:lang w:eastAsia="es-MX"/>
              </w:rPr>
              <w:t>INSTITUCION BANCARIA RESGUARDANTE</w:t>
            </w:r>
          </w:p>
        </w:tc>
        <w:tc>
          <w:tcPr>
            <w:tcW w:w="1559" w:type="dxa"/>
            <w:tcBorders>
              <w:top w:val="single" w:sz="4" w:space="0" w:color="auto"/>
              <w:left w:val="nil"/>
              <w:bottom w:val="single" w:sz="4" w:space="0" w:color="auto"/>
              <w:right w:val="single" w:sz="4" w:space="0" w:color="auto"/>
            </w:tcBorders>
            <w:shd w:val="clear" w:color="000000" w:fill="1F497D"/>
            <w:noWrap/>
            <w:vAlign w:val="center"/>
            <w:hideMark/>
          </w:tcPr>
          <w:p w14:paraId="012B8886" w14:textId="77777777" w:rsidR="00026ED1" w:rsidRPr="00510FE3" w:rsidRDefault="00026ED1" w:rsidP="00F10848">
            <w:pPr>
              <w:spacing w:after="0" w:line="240" w:lineRule="auto"/>
              <w:jc w:val="center"/>
              <w:rPr>
                <w:rFonts w:ascii="Cambria" w:eastAsia="Times New Roman" w:hAnsi="Cambria" w:cs="Calibri"/>
                <w:b/>
                <w:bCs/>
                <w:color w:val="FFFFFF"/>
                <w:sz w:val="16"/>
                <w:szCs w:val="16"/>
                <w:lang w:eastAsia="es-MX"/>
              </w:rPr>
            </w:pPr>
            <w:r w:rsidRPr="00510FE3">
              <w:rPr>
                <w:rFonts w:ascii="Cambria" w:eastAsia="Times New Roman" w:hAnsi="Cambria" w:cs="Calibri"/>
                <w:b/>
                <w:bCs/>
                <w:color w:val="FFFFFF"/>
                <w:sz w:val="16"/>
                <w:szCs w:val="16"/>
                <w:lang w:eastAsia="es-MX"/>
              </w:rPr>
              <w:t>SALDO</w:t>
            </w:r>
          </w:p>
        </w:tc>
      </w:tr>
      <w:tr w:rsidR="00026ED1" w:rsidRPr="00510FE3" w14:paraId="6A727323" w14:textId="77777777" w:rsidTr="00F10848">
        <w:trPr>
          <w:trHeight w:val="21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3E34D2" w14:textId="77777777" w:rsidR="00026ED1" w:rsidRPr="00510FE3" w:rsidRDefault="00026ED1" w:rsidP="00F10848">
            <w:pPr>
              <w:spacing w:after="0" w:line="240" w:lineRule="auto"/>
              <w:rPr>
                <w:rFonts w:ascii="Cambria" w:eastAsia="Times New Roman" w:hAnsi="Cambria" w:cs="Calibri"/>
                <w:color w:val="000000"/>
                <w:sz w:val="16"/>
                <w:szCs w:val="16"/>
                <w:lang w:eastAsia="es-MX"/>
              </w:rPr>
            </w:pPr>
            <w:r w:rsidRPr="00510FE3">
              <w:rPr>
                <w:rFonts w:ascii="Cambria" w:eastAsia="Times New Roman" w:hAnsi="Cambria" w:cs="Calibri"/>
                <w:color w:val="000000"/>
                <w:sz w:val="16"/>
                <w:szCs w:val="16"/>
                <w:lang w:eastAsia="es-MX"/>
              </w:rPr>
              <w:t>Pr</w:t>
            </w:r>
            <w:r>
              <w:rPr>
                <w:rFonts w:ascii="Cambria" w:eastAsia="Times New Roman" w:hAnsi="Cambria" w:cs="Calibri"/>
                <w:color w:val="000000"/>
                <w:sz w:val="16"/>
                <w:szCs w:val="16"/>
                <w:lang w:eastAsia="es-MX"/>
              </w:rPr>
              <w:t>é</w:t>
            </w:r>
            <w:r w:rsidRPr="00510FE3">
              <w:rPr>
                <w:rFonts w:ascii="Cambria" w:eastAsia="Times New Roman" w:hAnsi="Cambria" w:cs="Calibri"/>
                <w:color w:val="000000"/>
                <w:sz w:val="16"/>
                <w:szCs w:val="16"/>
                <w:lang w:eastAsia="es-MX"/>
              </w:rPr>
              <w:t>stamos</w:t>
            </w:r>
          </w:p>
        </w:tc>
        <w:tc>
          <w:tcPr>
            <w:tcW w:w="2699" w:type="dxa"/>
            <w:tcBorders>
              <w:top w:val="nil"/>
              <w:left w:val="nil"/>
              <w:bottom w:val="single" w:sz="4" w:space="0" w:color="auto"/>
              <w:right w:val="single" w:sz="4" w:space="0" w:color="auto"/>
            </w:tcBorders>
            <w:shd w:val="clear" w:color="auto" w:fill="auto"/>
            <w:noWrap/>
            <w:vAlign w:val="center"/>
            <w:hideMark/>
          </w:tcPr>
          <w:p w14:paraId="7C7D5632" w14:textId="77777777" w:rsidR="00026ED1" w:rsidRPr="00510FE3" w:rsidRDefault="00026ED1" w:rsidP="00F10848">
            <w:pPr>
              <w:spacing w:after="0" w:line="240" w:lineRule="auto"/>
              <w:rPr>
                <w:rFonts w:ascii="Cambria" w:eastAsia="Times New Roman" w:hAnsi="Cambria" w:cs="Calibri"/>
                <w:sz w:val="16"/>
                <w:szCs w:val="16"/>
                <w:lang w:eastAsia="es-MX"/>
              </w:rPr>
            </w:pPr>
            <w:r w:rsidRPr="00510FE3">
              <w:rPr>
                <w:rFonts w:ascii="Cambria" w:eastAsia="Times New Roman" w:hAnsi="Cambria" w:cs="Calibri"/>
                <w:sz w:val="16"/>
                <w:szCs w:val="16"/>
                <w:lang w:eastAsia="es-MX"/>
              </w:rPr>
              <w:t>SANTANDER SERFIN</w:t>
            </w:r>
          </w:p>
        </w:tc>
        <w:tc>
          <w:tcPr>
            <w:tcW w:w="1559" w:type="dxa"/>
            <w:tcBorders>
              <w:top w:val="nil"/>
              <w:left w:val="nil"/>
              <w:bottom w:val="single" w:sz="4" w:space="0" w:color="auto"/>
              <w:right w:val="single" w:sz="4" w:space="0" w:color="auto"/>
            </w:tcBorders>
            <w:shd w:val="clear" w:color="auto" w:fill="auto"/>
            <w:noWrap/>
            <w:vAlign w:val="center"/>
            <w:hideMark/>
          </w:tcPr>
          <w:p w14:paraId="6F60AA4E" w14:textId="77777777" w:rsidR="00026ED1" w:rsidRPr="00510FE3" w:rsidRDefault="00026ED1" w:rsidP="00F10848">
            <w:pPr>
              <w:spacing w:after="0" w:line="240" w:lineRule="auto"/>
              <w:jc w:val="right"/>
              <w:rPr>
                <w:rFonts w:ascii="Cambria" w:eastAsia="Times New Roman" w:hAnsi="Cambria" w:cs="Calibri"/>
                <w:color w:val="000000"/>
                <w:sz w:val="16"/>
                <w:szCs w:val="16"/>
                <w:lang w:eastAsia="es-MX"/>
              </w:rPr>
            </w:pPr>
            <w:r w:rsidRPr="00510FE3">
              <w:rPr>
                <w:rFonts w:ascii="Cambria" w:eastAsia="Times New Roman" w:hAnsi="Cambria" w:cs="Calibri"/>
                <w:color w:val="000000"/>
                <w:sz w:val="16"/>
                <w:szCs w:val="16"/>
                <w:lang w:eastAsia="es-MX"/>
              </w:rPr>
              <w:t xml:space="preserve">                    4,575,668 </w:t>
            </w:r>
          </w:p>
        </w:tc>
      </w:tr>
      <w:tr w:rsidR="00026ED1" w:rsidRPr="00510FE3" w14:paraId="3C4C33CF" w14:textId="77777777" w:rsidTr="00F10848">
        <w:trPr>
          <w:trHeight w:val="210"/>
          <w:jc w:val="center"/>
        </w:trPr>
        <w:tc>
          <w:tcPr>
            <w:tcW w:w="49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7E8D8" w14:textId="77777777" w:rsidR="00026ED1" w:rsidRPr="00510FE3" w:rsidRDefault="00026ED1" w:rsidP="00F10848">
            <w:pPr>
              <w:spacing w:after="0" w:line="240" w:lineRule="auto"/>
              <w:jc w:val="right"/>
              <w:rPr>
                <w:rFonts w:ascii="Cambria" w:eastAsia="Times New Roman" w:hAnsi="Cambria" w:cs="Calibri"/>
                <w:sz w:val="16"/>
                <w:szCs w:val="16"/>
                <w:lang w:eastAsia="es-MX"/>
              </w:rPr>
            </w:pPr>
            <w:r w:rsidRPr="00510FE3">
              <w:rPr>
                <w:rFonts w:ascii="Cambria" w:eastAsia="Times New Roman" w:hAnsi="Cambria" w:cs="Calibri"/>
                <w:sz w:val="16"/>
                <w:szCs w:val="16"/>
                <w:lang w:eastAsia="es-MX"/>
              </w:rPr>
              <w:t xml:space="preserve">TOTAL </w:t>
            </w:r>
          </w:p>
        </w:tc>
        <w:tc>
          <w:tcPr>
            <w:tcW w:w="1559" w:type="dxa"/>
            <w:tcBorders>
              <w:top w:val="nil"/>
              <w:left w:val="nil"/>
              <w:bottom w:val="single" w:sz="4" w:space="0" w:color="auto"/>
              <w:right w:val="single" w:sz="4" w:space="0" w:color="auto"/>
            </w:tcBorders>
            <w:shd w:val="clear" w:color="000000" w:fill="FFFFFF"/>
            <w:noWrap/>
            <w:vAlign w:val="center"/>
            <w:hideMark/>
          </w:tcPr>
          <w:p w14:paraId="016C8C3A" w14:textId="77777777" w:rsidR="00026ED1" w:rsidRPr="00510FE3" w:rsidRDefault="00026ED1" w:rsidP="00F10848">
            <w:pPr>
              <w:spacing w:after="0" w:line="240" w:lineRule="auto"/>
              <w:jc w:val="right"/>
              <w:rPr>
                <w:rFonts w:ascii="Cambria" w:eastAsia="Times New Roman" w:hAnsi="Cambria" w:cs="Calibri"/>
                <w:sz w:val="16"/>
                <w:szCs w:val="16"/>
                <w:lang w:eastAsia="es-MX"/>
              </w:rPr>
            </w:pPr>
            <w:r w:rsidRPr="00510FE3">
              <w:rPr>
                <w:rFonts w:ascii="Cambria" w:eastAsia="Times New Roman" w:hAnsi="Cambria" w:cs="Calibri"/>
                <w:sz w:val="16"/>
                <w:szCs w:val="16"/>
                <w:lang w:eastAsia="es-MX"/>
              </w:rPr>
              <w:t>$4,575,668</w:t>
            </w:r>
          </w:p>
        </w:tc>
      </w:tr>
    </w:tbl>
    <w:p w14:paraId="167C6724" w14:textId="77777777" w:rsidR="005D7484" w:rsidRDefault="005D7484" w:rsidP="00414654">
      <w:pPr>
        <w:spacing w:line="240" w:lineRule="auto"/>
        <w:ind w:left="1429"/>
        <w:jc w:val="both"/>
        <w:rPr>
          <w:rFonts w:ascii="Cambria" w:hAnsi="Cambria" w:cs="DIN Pro Regular"/>
          <w:sz w:val="20"/>
          <w:szCs w:val="20"/>
        </w:rPr>
      </w:pPr>
    </w:p>
    <w:p w14:paraId="45F27774" w14:textId="5CC34C60" w:rsidR="004F0A1B" w:rsidRPr="005B2D52" w:rsidRDefault="004F0A1B" w:rsidP="00557E84">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49BBA82E"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B7195D">
        <w:rPr>
          <w:rFonts w:ascii="Cambria" w:hAnsi="Cambria" w:cs="DIN Pro Regular"/>
          <w:sz w:val="20"/>
          <w:szCs w:val="20"/>
        </w:rPr>
        <w:t>31 de diciembre</w:t>
      </w:r>
      <w:r w:rsidR="000E644D" w:rsidRPr="005B2D52">
        <w:rPr>
          <w:rFonts w:ascii="Cambria" w:hAnsi="Cambria" w:cs="DIN Pro Regular"/>
          <w:sz w:val="20"/>
          <w:szCs w:val="20"/>
        </w:rPr>
        <w:t xml:space="preserve"> </w:t>
      </w:r>
      <w:r w:rsidRPr="005B2D52">
        <w:rPr>
          <w:rFonts w:ascii="Cambria" w:hAnsi="Cambria" w:cs="DIN Pro Regular"/>
          <w:sz w:val="20"/>
          <w:szCs w:val="20"/>
        </w:rPr>
        <w:t xml:space="preserve">de </w:t>
      </w:r>
      <w:r w:rsidR="006F4AFF">
        <w:rPr>
          <w:rFonts w:ascii="Cambria" w:hAnsi="Cambria" w:cs="DIN Pro Regular"/>
          <w:sz w:val="20"/>
          <w:szCs w:val="20"/>
        </w:rPr>
        <w:t>2023</w:t>
      </w:r>
      <w:r w:rsidRPr="005B2D52">
        <w:rPr>
          <w:rFonts w:ascii="Cambria" w:hAnsi="Cambria" w:cs="DIN Pro Regular"/>
          <w:sz w:val="20"/>
          <w:szCs w:val="20"/>
        </w:rPr>
        <w:t xml:space="preserve"> se cuenta con un saldo de $</w:t>
      </w:r>
      <w:r w:rsidR="00026ED1">
        <w:rPr>
          <w:rFonts w:ascii="Cambria" w:hAnsi="Cambria" w:cs="DIN Pro Regular"/>
          <w:sz w:val="20"/>
          <w:szCs w:val="20"/>
        </w:rPr>
        <w:t>14</w:t>
      </w:r>
      <w:r w:rsidRPr="005B2D52">
        <w:rPr>
          <w:rFonts w:ascii="Cambria" w:hAnsi="Cambria" w:cs="DIN Pro Regular"/>
          <w:sz w:val="20"/>
          <w:szCs w:val="20"/>
        </w:rPr>
        <w:t>,</w:t>
      </w:r>
      <w:r w:rsidR="00026ED1">
        <w:rPr>
          <w:rFonts w:ascii="Cambria" w:hAnsi="Cambria" w:cs="DIN Pro Regular"/>
          <w:sz w:val="20"/>
          <w:szCs w:val="20"/>
        </w:rPr>
        <w:t>138</w:t>
      </w:r>
      <w:r w:rsidRPr="005B2D52">
        <w:rPr>
          <w:rFonts w:ascii="Cambria" w:hAnsi="Cambria" w:cs="DIN Pro Regular"/>
          <w:sz w:val="20"/>
          <w:szCs w:val="20"/>
        </w:rPr>
        <w:t>,</w:t>
      </w:r>
      <w:r w:rsidR="00026ED1">
        <w:rPr>
          <w:rFonts w:ascii="Cambria" w:hAnsi="Cambria" w:cs="DIN Pro Regular"/>
          <w:sz w:val="20"/>
          <w:szCs w:val="20"/>
        </w:rPr>
        <w:t>412</w:t>
      </w:r>
      <w:r w:rsidRPr="005B2D52">
        <w:rPr>
          <w:rFonts w:ascii="Cambria" w:hAnsi="Cambria" w:cs="DIN Pro Regular"/>
          <w:sz w:val="20"/>
          <w:szCs w:val="20"/>
        </w:rPr>
        <w:t xml:space="preserve"> pesos y se integra de la siguiente forma:</w:t>
      </w: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1276"/>
        <w:gridCol w:w="992"/>
        <w:gridCol w:w="1060"/>
      </w:tblGrid>
      <w:tr w:rsidR="00935790" w:rsidRPr="00935790" w14:paraId="0FC75A8E" w14:textId="77777777" w:rsidTr="00F10848">
        <w:trPr>
          <w:trHeight w:val="210"/>
          <w:jc w:val="center"/>
        </w:trPr>
        <w:tc>
          <w:tcPr>
            <w:tcW w:w="3260" w:type="dxa"/>
            <w:shd w:val="clear" w:color="000000" w:fill="1F497D"/>
            <w:noWrap/>
            <w:vAlign w:val="center"/>
            <w:hideMark/>
          </w:tcPr>
          <w:p w14:paraId="7AE14095" w14:textId="77777777" w:rsidR="00935790" w:rsidRPr="00935790" w:rsidRDefault="00935790" w:rsidP="00F10848">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FONDOS ESPECIFICOS</w:t>
            </w:r>
          </w:p>
        </w:tc>
        <w:tc>
          <w:tcPr>
            <w:tcW w:w="1276" w:type="dxa"/>
            <w:shd w:val="clear" w:color="000000" w:fill="1F497D"/>
            <w:noWrap/>
            <w:vAlign w:val="center"/>
            <w:hideMark/>
          </w:tcPr>
          <w:p w14:paraId="2E7781AD" w14:textId="77777777" w:rsidR="00935790" w:rsidRPr="00935790" w:rsidRDefault="00935790" w:rsidP="00F10848">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INSTITUCION BANCARIA</w:t>
            </w:r>
          </w:p>
        </w:tc>
        <w:tc>
          <w:tcPr>
            <w:tcW w:w="992" w:type="dxa"/>
            <w:shd w:val="clear" w:color="000000" w:fill="1F497D"/>
            <w:noWrap/>
            <w:vAlign w:val="center"/>
            <w:hideMark/>
          </w:tcPr>
          <w:p w14:paraId="39B692E7" w14:textId="77777777" w:rsidR="00935790" w:rsidRPr="00935790" w:rsidRDefault="00935790" w:rsidP="004A3E37">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CUENTA</w:t>
            </w:r>
          </w:p>
        </w:tc>
        <w:tc>
          <w:tcPr>
            <w:tcW w:w="1060" w:type="dxa"/>
            <w:shd w:val="clear" w:color="000000" w:fill="1F497D"/>
            <w:noWrap/>
            <w:vAlign w:val="center"/>
            <w:hideMark/>
          </w:tcPr>
          <w:p w14:paraId="2C2E8594" w14:textId="77777777" w:rsidR="00935790" w:rsidRPr="00935790" w:rsidRDefault="00935790" w:rsidP="00F10848">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SALDO</w:t>
            </w:r>
          </w:p>
        </w:tc>
      </w:tr>
      <w:tr w:rsidR="00935790" w:rsidRPr="00935790" w14:paraId="3AFE05F6" w14:textId="77777777" w:rsidTr="00F10848">
        <w:trPr>
          <w:trHeight w:val="210"/>
          <w:jc w:val="center"/>
        </w:trPr>
        <w:tc>
          <w:tcPr>
            <w:tcW w:w="3260" w:type="dxa"/>
            <w:shd w:val="clear" w:color="auto" w:fill="auto"/>
            <w:noWrap/>
            <w:vAlign w:val="bottom"/>
            <w:hideMark/>
          </w:tcPr>
          <w:p w14:paraId="6DE9C09E"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 xml:space="preserve">Federal: CONACYT (Inducción de Diabetes) </w:t>
            </w:r>
          </w:p>
        </w:tc>
        <w:tc>
          <w:tcPr>
            <w:tcW w:w="1276" w:type="dxa"/>
            <w:shd w:val="clear" w:color="auto" w:fill="auto"/>
            <w:noWrap/>
            <w:vAlign w:val="bottom"/>
            <w:hideMark/>
          </w:tcPr>
          <w:p w14:paraId="3B8F4EBB"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H.S.B.C</w:t>
            </w:r>
          </w:p>
        </w:tc>
        <w:tc>
          <w:tcPr>
            <w:tcW w:w="992" w:type="dxa"/>
            <w:shd w:val="clear" w:color="auto" w:fill="auto"/>
            <w:noWrap/>
            <w:vAlign w:val="bottom"/>
            <w:hideMark/>
          </w:tcPr>
          <w:p w14:paraId="03CC33FA" w14:textId="77777777" w:rsidR="00935790" w:rsidRPr="00935790" w:rsidRDefault="00935790" w:rsidP="004A3E37">
            <w:pPr>
              <w:spacing w:after="0" w:line="240" w:lineRule="auto"/>
              <w:jc w:val="center"/>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9763</w:t>
            </w:r>
          </w:p>
        </w:tc>
        <w:tc>
          <w:tcPr>
            <w:tcW w:w="1060" w:type="dxa"/>
            <w:shd w:val="clear" w:color="auto" w:fill="auto"/>
            <w:noWrap/>
            <w:vAlign w:val="bottom"/>
            <w:hideMark/>
          </w:tcPr>
          <w:p w14:paraId="4BF2C1B4" w14:textId="77777777" w:rsidR="00935790" w:rsidRPr="00935790" w:rsidRDefault="00935790" w:rsidP="00F10848">
            <w:pPr>
              <w:spacing w:after="0" w:line="240" w:lineRule="auto"/>
              <w:jc w:val="right"/>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 xml:space="preserve">                      1 </w:t>
            </w:r>
          </w:p>
        </w:tc>
      </w:tr>
      <w:tr w:rsidR="00935790" w:rsidRPr="00935790" w14:paraId="3DD63A3C" w14:textId="77777777" w:rsidTr="00F10848">
        <w:trPr>
          <w:trHeight w:val="210"/>
          <w:jc w:val="center"/>
        </w:trPr>
        <w:tc>
          <w:tcPr>
            <w:tcW w:w="3260" w:type="dxa"/>
            <w:shd w:val="clear" w:color="auto" w:fill="auto"/>
            <w:noWrap/>
            <w:vAlign w:val="bottom"/>
            <w:hideMark/>
          </w:tcPr>
          <w:p w14:paraId="3E37739A" w14:textId="040E5362"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Federal: CONACYT (</w:t>
            </w:r>
            <w:proofErr w:type="spellStart"/>
            <w:r w:rsidRPr="00935790">
              <w:rPr>
                <w:rFonts w:ascii="Cambria" w:eastAsia="Times New Roman" w:hAnsi="Cambria" w:cs="Calibri"/>
                <w:sz w:val="16"/>
                <w:szCs w:val="16"/>
                <w:lang w:eastAsia="es-MX"/>
              </w:rPr>
              <w:t>Esterasaas</w:t>
            </w:r>
            <w:proofErr w:type="spellEnd"/>
            <w:r w:rsidRPr="00935790">
              <w:rPr>
                <w:rFonts w:ascii="Cambria" w:eastAsia="Times New Roman" w:hAnsi="Cambria" w:cs="Calibri"/>
                <w:sz w:val="16"/>
                <w:szCs w:val="16"/>
                <w:lang w:eastAsia="es-MX"/>
              </w:rPr>
              <w:t xml:space="preserve"> </w:t>
            </w:r>
            <w:r w:rsidR="00212091" w:rsidRPr="00935790">
              <w:rPr>
                <w:rFonts w:ascii="Cambria" w:eastAsia="Times New Roman" w:hAnsi="Cambria" w:cs="Calibri"/>
                <w:sz w:val="16"/>
                <w:szCs w:val="16"/>
                <w:lang w:eastAsia="es-MX"/>
              </w:rPr>
              <w:t>Fúngicas</w:t>
            </w:r>
            <w:r w:rsidRPr="00935790">
              <w:rPr>
                <w:rFonts w:ascii="Cambria" w:eastAsia="Times New Roman" w:hAnsi="Cambria" w:cs="Calibri"/>
                <w:sz w:val="16"/>
                <w:szCs w:val="16"/>
                <w:lang w:eastAsia="es-MX"/>
              </w:rPr>
              <w:t xml:space="preserve">) </w:t>
            </w:r>
          </w:p>
        </w:tc>
        <w:tc>
          <w:tcPr>
            <w:tcW w:w="1276" w:type="dxa"/>
            <w:shd w:val="clear" w:color="auto" w:fill="auto"/>
            <w:noWrap/>
            <w:vAlign w:val="bottom"/>
            <w:hideMark/>
          </w:tcPr>
          <w:p w14:paraId="705AAE7D"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H.S.B.C</w:t>
            </w:r>
          </w:p>
        </w:tc>
        <w:tc>
          <w:tcPr>
            <w:tcW w:w="992" w:type="dxa"/>
            <w:shd w:val="clear" w:color="auto" w:fill="auto"/>
            <w:noWrap/>
            <w:vAlign w:val="bottom"/>
            <w:hideMark/>
          </w:tcPr>
          <w:p w14:paraId="61E4DF8E" w14:textId="77777777" w:rsidR="00935790" w:rsidRPr="00935790" w:rsidRDefault="00935790" w:rsidP="004A3E37">
            <w:pPr>
              <w:spacing w:after="0" w:line="240" w:lineRule="auto"/>
              <w:jc w:val="center"/>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9755</w:t>
            </w:r>
          </w:p>
        </w:tc>
        <w:tc>
          <w:tcPr>
            <w:tcW w:w="1060" w:type="dxa"/>
            <w:shd w:val="clear" w:color="auto" w:fill="auto"/>
            <w:noWrap/>
            <w:vAlign w:val="bottom"/>
            <w:hideMark/>
          </w:tcPr>
          <w:p w14:paraId="24612507" w14:textId="77777777" w:rsidR="00935790" w:rsidRPr="00935790" w:rsidRDefault="00935790" w:rsidP="00F10848">
            <w:pPr>
              <w:spacing w:after="0" w:line="240" w:lineRule="auto"/>
              <w:jc w:val="right"/>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 xml:space="preserve">                  104 </w:t>
            </w:r>
          </w:p>
        </w:tc>
      </w:tr>
      <w:tr w:rsidR="00935790" w:rsidRPr="00935790" w14:paraId="482F2820" w14:textId="77777777" w:rsidTr="00F10848">
        <w:trPr>
          <w:trHeight w:val="420"/>
          <w:jc w:val="center"/>
        </w:trPr>
        <w:tc>
          <w:tcPr>
            <w:tcW w:w="3260" w:type="dxa"/>
            <w:shd w:val="clear" w:color="auto" w:fill="auto"/>
            <w:vAlign w:val="center"/>
            <w:hideMark/>
          </w:tcPr>
          <w:p w14:paraId="5E84EE94"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2CC19B5A"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1A71A1A4" w14:textId="6B8E74BE" w:rsidR="00935790" w:rsidRPr="00935790" w:rsidRDefault="004A3E37" w:rsidP="004A3E37">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00935790" w:rsidRPr="00935790">
              <w:rPr>
                <w:rFonts w:ascii="Cambria" w:eastAsia="Times New Roman" w:hAnsi="Cambria" w:cs="Calibri"/>
                <w:sz w:val="16"/>
                <w:szCs w:val="16"/>
                <w:lang w:eastAsia="es-MX"/>
              </w:rPr>
              <w:t>11</w:t>
            </w:r>
          </w:p>
        </w:tc>
        <w:tc>
          <w:tcPr>
            <w:tcW w:w="1060" w:type="dxa"/>
            <w:shd w:val="clear" w:color="auto" w:fill="auto"/>
            <w:noWrap/>
            <w:vAlign w:val="bottom"/>
            <w:hideMark/>
          </w:tcPr>
          <w:p w14:paraId="1452D12B"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3,109,082 </w:t>
            </w:r>
          </w:p>
        </w:tc>
      </w:tr>
      <w:tr w:rsidR="00935790" w:rsidRPr="00935790" w14:paraId="0DA8E8A5" w14:textId="77777777" w:rsidTr="00F10848">
        <w:trPr>
          <w:trHeight w:val="420"/>
          <w:jc w:val="center"/>
        </w:trPr>
        <w:tc>
          <w:tcPr>
            <w:tcW w:w="3260" w:type="dxa"/>
            <w:shd w:val="clear" w:color="auto" w:fill="auto"/>
            <w:vAlign w:val="center"/>
            <w:hideMark/>
          </w:tcPr>
          <w:p w14:paraId="542334BB"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65AAD35B"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657B39B3" w14:textId="77777777" w:rsidR="00935790" w:rsidRPr="00935790" w:rsidRDefault="00935790" w:rsidP="004A3E37">
            <w:pPr>
              <w:spacing w:after="0" w:line="240" w:lineRule="auto"/>
              <w:jc w:val="center"/>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1448</w:t>
            </w:r>
          </w:p>
        </w:tc>
        <w:tc>
          <w:tcPr>
            <w:tcW w:w="1060" w:type="dxa"/>
            <w:shd w:val="clear" w:color="auto" w:fill="auto"/>
            <w:noWrap/>
            <w:vAlign w:val="bottom"/>
            <w:hideMark/>
          </w:tcPr>
          <w:p w14:paraId="43617A98"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3,763,254 </w:t>
            </w:r>
          </w:p>
        </w:tc>
      </w:tr>
      <w:tr w:rsidR="00935790" w:rsidRPr="00935790" w14:paraId="48EFA9E5" w14:textId="77777777" w:rsidTr="00F10848">
        <w:trPr>
          <w:trHeight w:val="420"/>
          <w:jc w:val="center"/>
        </w:trPr>
        <w:tc>
          <w:tcPr>
            <w:tcW w:w="3260" w:type="dxa"/>
            <w:shd w:val="clear" w:color="auto" w:fill="auto"/>
            <w:vAlign w:val="center"/>
            <w:hideMark/>
          </w:tcPr>
          <w:p w14:paraId="23F1CA19"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0DE2F7DA"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574B26B5" w14:textId="77777777" w:rsidR="00935790" w:rsidRPr="00935790" w:rsidRDefault="00935790" w:rsidP="004A3E37">
            <w:pPr>
              <w:spacing w:after="0" w:line="240" w:lineRule="auto"/>
              <w:jc w:val="center"/>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6911</w:t>
            </w:r>
          </w:p>
        </w:tc>
        <w:tc>
          <w:tcPr>
            <w:tcW w:w="1060" w:type="dxa"/>
            <w:shd w:val="clear" w:color="auto" w:fill="auto"/>
            <w:noWrap/>
            <w:vAlign w:val="bottom"/>
            <w:hideMark/>
          </w:tcPr>
          <w:p w14:paraId="7918D6A6"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1,437,838 </w:t>
            </w:r>
          </w:p>
        </w:tc>
      </w:tr>
      <w:tr w:rsidR="00935790" w:rsidRPr="00935790" w14:paraId="1D4DBC82" w14:textId="77777777" w:rsidTr="00F10848">
        <w:trPr>
          <w:trHeight w:val="420"/>
          <w:jc w:val="center"/>
        </w:trPr>
        <w:tc>
          <w:tcPr>
            <w:tcW w:w="3260" w:type="dxa"/>
            <w:shd w:val="clear" w:color="auto" w:fill="auto"/>
            <w:vAlign w:val="center"/>
            <w:hideMark/>
          </w:tcPr>
          <w:p w14:paraId="2D559F51"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48CDBA32"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176CECDA" w14:textId="53219CED" w:rsidR="00935790" w:rsidRPr="00935790" w:rsidRDefault="004A3E37" w:rsidP="004A3E37">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935790" w:rsidRPr="00935790">
              <w:rPr>
                <w:rFonts w:ascii="Cambria" w:eastAsia="Times New Roman" w:hAnsi="Cambria" w:cs="Calibri"/>
                <w:sz w:val="16"/>
                <w:szCs w:val="16"/>
                <w:lang w:eastAsia="es-MX"/>
              </w:rPr>
              <w:t>561</w:t>
            </w:r>
          </w:p>
        </w:tc>
        <w:tc>
          <w:tcPr>
            <w:tcW w:w="1060" w:type="dxa"/>
            <w:shd w:val="clear" w:color="auto" w:fill="auto"/>
            <w:noWrap/>
            <w:vAlign w:val="bottom"/>
            <w:hideMark/>
          </w:tcPr>
          <w:p w14:paraId="48C7351F"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2,213,392 </w:t>
            </w:r>
          </w:p>
        </w:tc>
      </w:tr>
      <w:tr w:rsidR="00935790" w:rsidRPr="00935790" w14:paraId="2FE95991" w14:textId="77777777" w:rsidTr="00F10848">
        <w:trPr>
          <w:trHeight w:val="210"/>
          <w:jc w:val="center"/>
        </w:trPr>
        <w:tc>
          <w:tcPr>
            <w:tcW w:w="3260" w:type="dxa"/>
            <w:shd w:val="clear" w:color="auto" w:fill="auto"/>
            <w:noWrap/>
            <w:vAlign w:val="bottom"/>
            <w:hideMark/>
          </w:tcPr>
          <w:p w14:paraId="4A457D53"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Federal: CONACYT (tecnificación de materias)</w:t>
            </w:r>
          </w:p>
        </w:tc>
        <w:tc>
          <w:tcPr>
            <w:tcW w:w="1276" w:type="dxa"/>
            <w:shd w:val="clear" w:color="auto" w:fill="auto"/>
            <w:noWrap/>
            <w:vAlign w:val="bottom"/>
            <w:hideMark/>
          </w:tcPr>
          <w:p w14:paraId="66E5B889"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BANCOMER</w:t>
            </w:r>
          </w:p>
        </w:tc>
        <w:tc>
          <w:tcPr>
            <w:tcW w:w="992" w:type="dxa"/>
            <w:shd w:val="clear" w:color="auto" w:fill="auto"/>
            <w:noWrap/>
            <w:vAlign w:val="bottom"/>
            <w:hideMark/>
          </w:tcPr>
          <w:p w14:paraId="15E54261"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2253</w:t>
            </w:r>
          </w:p>
        </w:tc>
        <w:tc>
          <w:tcPr>
            <w:tcW w:w="1060" w:type="dxa"/>
            <w:shd w:val="clear" w:color="auto" w:fill="auto"/>
            <w:noWrap/>
            <w:vAlign w:val="bottom"/>
            <w:hideMark/>
          </w:tcPr>
          <w:p w14:paraId="17303837"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425,873 </w:t>
            </w:r>
          </w:p>
        </w:tc>
      </w:tr>
      <w:tr w:rsidR="00935790" w:rsidRPr="00935790" w14:paraId="7AAF1334" w14:textId="77777777" w:rsidTr="00F10848">
        <w:trPr>
          <w:trHeight w:val="420"/>
          <w:jc w:val="center"/>
        </w:trPr>
        <w:tc>
          <w:tcPr>
            <w:tcW w:w="3260" w:type="dxa"/>
            <w:shd w:val="clear" w:color="auto" w:fill="auto"/>
            <w:vAlign w:val="center"/>
            <w:hideMark/>
          </w:tcPr>
          <w:p w14:paraId="261DE35F"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63A8893A"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53A56E7B" w14:textId="77777777" w:rsidR="00935790" w:rsidRPr="00935790" w:rsidRDefault="00935790" w:rsidP="004A3E37">
            <w:pPr>
              <w:spacing w:after="0" w:line="240" w:lineRule="auto"/>
              <w:jc w:val="center"/>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3390</w:t>
            </w:r>
          </w:p>
        </w:tc>
        <w:tc>
          <w:tcPr>
            <w:tcW w:w="1060" w:type="dxa"/>
            <w:shd w:val="clear" w:color="auto" w:fill="auto"/>
            <w:noWrap/>
            <w:vAlign w:val="bottom"/>
            <w:hideMark/>
          </w:tcPr>
          <w:p w14:paraId="0C8C3A8E"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1,346,108 </w:t>
            </w:r>
          </w:p>
        </w:tc>
      </w:tr>
      <w:tr w:rsidR="00935790" w:rsidRPr="00935790" w14:paraId="20A43B26" w14:textId="77777777" w:rsidTr="00F10848">
        <w:trPr>
          <w:trHeight w:val="630"/>
          <w:jc w:val="center"/>
        </w:trPr>
        <w:tc>
          <w:tcPr>
            <w:tcW w:w="3260" w:type="dxa"/>
            <w:shd w:val="clear" w:color="auto" w:fill="auto"/>
            <w:vAlign w:val="center"/>
            <w:hideMark/>
          </w:tcPr>
          <w:p w14:paraId="2980A5E2"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Estatal: Efectos de la pandemia de COVID-19 en la actividad académica, laboral y escolar de mujeres académicas y estudiantes universitarias del Estado de Tamaulipas</w:t>
            </w:r>
          </w:p>
        </w:tc>
        <w:tc>
          <w:tcPr>
            <w:tcW w:w="1276" w:type="dxa"/>
            <w:shd w:val="clear" w:color="auto" w:fill="auto"/>
            <w:noWrap/>
            <w:vAlign w:val="bottom"/>
            <w:hideMark/>
          </w:tcPr>
          <w:p w14:paraId="47688978"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106EAD8B"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5666</w:t>
            </w:r>
          </w:p>
        </w:tc>
        <w:tc>
          <w:tcPr>
            <w:tcW w:w="1060" w:type="dxa"/>
            <w:shd w:val="clear" w:color="auto" w:fill="auto"/>
            <w:noWrap/>
            <w:vAlign w:val="bottom"/>
            <w:hideMark/>
          </w:tcPr>
          <w:p w14:paraId="01046506"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105,411 </w:t>
            </w:r>
          </w:p>
        </w:tc>
      </w:tr>
      <w:tr w:rsidR="00935790" w:rsidRPr="00935790" w14:paraId="1AE73B16" w14:textId="77777777" w:rsidTr="00F10848">
        <w:trPr>
          <w:trHeight w:val="840"/>
          <w:jc w:val="center"/>
        </w:trPr>
        <w:tc>
          <w:tcPr>
            <w:tcW w:w="3260" w:type="dxa"/>
            <w:shd w:val="clear" w:color="auto" w:fill="auto"/>
            <w:vAlign w:val="center"/>
            <w:hideMark/>
          </w:tcPr>
          <w:p w14:paraId="577DDB79"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Estatal: Efecto de la pandemia de COVID-19 sobre el estrés y estilo de vida en familias de jóvenes universitarios con riesgo </w:t>
            </w:r>
            <w:proofErr w:type="spellStart"/>
            <w:r w:rsidRPr="00935790">
              <w:rPr>
                <w:rFonts w:ascii="Cambria" w:eastAsia="Times New Roman" w:hAnsi="Cambria" w:cs="Calibri"/>
                <w:color w:val="000000"/>
                <w:sz w:val="16"/>
                <w:szCs w:val="16"/>
                <w:lang w:eastAsia="es-MX"/>
              </w:rPr>
              <w:t>cardiometabólico</w:t>
            </w:r>
            <w:proofErr w:type="spellEnd"/>
            <w:r w:rsidRPr="00935790">
              <w:rPr>
                <w:rFonts w:ascii="Cambria" w:eastAsia="Times New Roman" w:hAnsi="Cambria" w:cs="Calibri"/>
                <w:color w:val="000000"/>
                <w:sz w:val="16"/>
                <w:szCs w:val="16"/>
                <w:lang w:eastAsia="es-MX"/>
              </w:rPr>
              <w:t xml:space="preserve"> y su interacción con la presencia de anticuerpos anti-SARS-CoV2</w:t>
            </w:r>
          </w:p>
        </w:tc>
        <w:tc>
          <w:tcPr>
            <w:tcW w:w="1276" w:type="dxa"/>
            <w:shd w:val="clear" w:color="auto" w:fill="auto"/>
            <w:noWrap/>
            <w:vAlign w:val="bottom"/>
            <w:hideMark/>
          </w:tcPr>
          <w:p w14:paraId="12599EEB"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13325306"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8023</w:t>
            </w:r>
          </w:p>
        </w:tc>
        <w:tc>
          <w:tcPr>
            <w:tcW w:w="1060" w:type="dxa"/>
            <w:shd w:val="clear" w:color="auto" w:fill="auto"/>
            <w:noWrap/>
            <w:vAlign w:val="bottom"/>
            <w:hideMark/>
          </w:tcPr>
          <w:p w14:paraId="0CA7C2C2"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113,824 </w:t>
            </w:r>
          </w:p>
        </w:tc>
      </w:tr>
      <w:tr w:rsidR="00935790" w:rsidRPr="00935790" w14:paraId="224A5CFB" w14:textId="77777777" w:rsidTr="00F10848">
        <w:trPr>
          <w:trHeight w:val="420"/>
          <w:jc w:val="center"/>
        </w:trPr>
        <w:tc>
          <w:tcPr>
            <w:tcW w:w="3260" w:type="dxa"/>
            <w:shd w:val="clear" w:color="auto" w:fill="auto"/>
            <w:vAlign w:val="center"/>
            <w:hideMark/>
          </w:tcPr>
          <w:p w14:paraId="33D26DB8"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Estatal: Articulación de Competencias para fortalecer el apoyo a la búsqueda de personas en Tamaulipas</w:t>
            </w:r>
          </w:p>
        </w:tc>
        <w:tc>
          <w:tcPr>
            <w:tcW w:w="1276" w:type="dxa"/>
            <w:shd w:val="clear" w:color="auto" w:fill="auto"/>
            <w:noWrap/>
            <w:vAlign w:val="bottom"/>
            <w:hideMark/>
          </w:tcPr>
          <w:p w14:paraId="2AC8048F" w14:textId="77777777" w:rsidR="00935790" w:rsidRPr="00935790" w:rsidRDefault="00935790" w:rsidP="00F10848">
            <w:pPr>
              <w:spacing w:after="0" w:line="240" w:lineRule="auto"/>
              <w:rPr>
                <w:rFonts w:ascii="Cambria" w:eastAsia="Times New Roman" w:hAnsi="Cambria" w:cs="Calibri"/>
                <w:sz w:val="16"/>
                <w:szCs w:val="16"/>
                <w:lang w:eastAsia="es-MX"/>
              </w:rPr>
            </w:pPr>
            <w:r w:rsidRPr="00935790">
              <w:rPr>
                <w:rFonts w:ascii="Cambria" w:eastAsia="Times New Roman" w:hAnsi="Cambria" w:cs="Calibri"/>
                <w:sz w:val="16"/>
                <w:szCs w:val="16"/>
                <w:lang w:eastAsia="es-MX"/>
              </w:rPr>
              <w:t>BANORTE</w:t>
            </w:r>
          </w:p>
        </w:tc>
        <w:tc>
          <w:tcPr>
            <w:tcW w:w="992" w:type="dxa"/>
            <w:shd w:val="clear" w:color="auto" w:fill="auto"/>
            <w:noWrap/>
            <w:vAlign w:val="bottom"/>
            <w:hideMark/>
          </w:tcPr>
          <w:p w14:paraId="5663BE2F"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1368</w:t>
            </w:r>
          </w:p>
        </w:tc>
        <w:tc>
          <w:tcPr>
            <w:tcW w:w="1060" w:type="dxa"/>
            <w:shd w:val="clear" w:color="auto" w:fill="auto"/>
            <w:noWrap/>
            <w:vAlign w:val="bottom"/>
            <w:hideMark/>
          </w:tcPr>
          <w:p w14:paraId="4B8401EA"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11 </w:t>
            </w:r>
          </w:p>
        </w:tc>
      </w:tr>
      <w:tr w:rsidR="00935790" w:rsidRPr="00935790" w14:paraId="58078884" w14:textId="77777777" w:rsidTr="00F10848">
        <w:trPr>
          <w:trHeight w:val="450"/>
          <w:jc w:val="center"/>
        </w:trPr>
        <w:tc>
          <w:tcPr>
            <w:tcW w:w="3260" w:type="dxa"/>
            <w:shd w:val="clear" w:color="auto" w:fill="auto"/>
            <w:vAlign w:val="bottom"/>
            <w:hideMark/>
          </w:tcPr>
          <w:p w14:paraId="19DDBD09" w14:textId="7E012188"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Federal: Fondo de Aportaciones Múltiples Superior 2023</w:t>
            </w:r>
          </w:p>
        </w:tc>
        <w:tc>
          <w:tcPr>
            <w:tcW w:w="1276" w:type="dxa"/>
            <w:shd w:val="clear" w:color="auto" w:fill="auto"/>
            <w:noWrap/>
            <w:vAlign w:val="bottom"/>
            <w:hideMark/>
          </w:tcPr>
          <w:p w14:paraId="6AA9D06B"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SCOTIABANK </w:t>
            </w:r>
          </w:p>
        </w:tc>
        <w:tc>
          <w:tcPr>
            <w:tcW w:w="992" w:type="dxa"/>
            <w:shd w:val="clear" w:color="auto" w:fill="auto"/>
            <w:noWrap/>
            <w:vAlign w:val="bottom"/>
            <w:hideMark/>
          </w:tcPr>
          <w:p w14:paraId="0FAD8406"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4738</w:t>
            </w:r>
          </w:p>
        </w:tc>
        <w:tc>
          <w:tcPr>
            <w:tcW w:w="1060" w:type="dxa"/>
            <w:shd w:val="clear" w:color="auto" w:fill="auto"/>
            <w:noWrap/>
            <w:vAlign w:val="bottom"/>
            <w:hideMark/>
          </w:tcPr>
          <w:p w14:paraId="0EAE83EB"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71,599 </w:t>
            </w:r>
          </w:p>
        </w:tc>
      </w:tr>
      <w:tr w:rsidR="00935790" w:rsidRPr="00935790" w14:paraId="65B8A971" w14:textId="77777777" w:rsidTr="00F10848">
        <w:trPr>
          <w:trHeight w:val="780"/>
          <w:jc w:val="center"/>
        </w:trPr>
        <w:tc>
          <w:tcPr>
            <w:tcW w:w="3260" w:type="dxa"/>
            <w:shd w:val="clear" w:color="auto" w:fill="auto"/>
            <w:vAlign w:val="bottom"/>
            <w:hideMark/>
          </w:tcPr>
          <w:p w14:paraId="340D07FF"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276" w:type="dxa"/>
            <w:shd w:val="clear" w:color="auto" w:fill="auto"/>
            <w:noWrap/>
            <w:vAlign w:val="bottom"/>
            <w:hideMark/>
          </w:tcPr>
          <w:p w14:paraId="72F88585"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43272EE3"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7996</w:t>
            </w:r>
          </w:p>
        </w:tc>
        <w:tc>
          <w:tcPr>
            <w:tcW w:w="1060" w:type="dxa"/>
            <w:shd w:val="clear" w:color="auto" w:fill="auto"/>
            <w:noWrap/>
            <w:vAlign w:val="bottom"/>
            <w:hideMark/>
          </w:tcPr>
          <w:p w14:paraId="513E7FC6"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2 </w:t>
            </w:r>
          </w:p>
        </w:tc>
      </w:tr>
      <w:tr w:rsidR="00935790" w:rsidRPr="00935790" w14:paraId="484C0D53" w14:textId="77777777" w:rsidTr="00F10848">
        <w:trPr>
          <w:trHeight w:val="420"/>
          <w:jc w:val="center"/>
        </w:trPr>
        <w:tc>
          <w:tcPr>
            <w:tcW w:w="3260" w:type="dxa"/>
            <w:shd w:val="clear" w:color="auto" w:fill="auto"/>
            <w:vAlign w:val="bottom"/>
            <w:hideMark/>
          </w:tcPr>
          <w:p w14:paraId="78493E12"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lastRenderedPageBreak/>
              <w:t>Fortalecimiento del Laboratorio del Fisiología vegetal en la región noreste de México</w:t>
            </w:r>
          </w:p>
        </w:tc>
        <w:tc>
          <w:tcPr>
            <w:tcW w:w="1276" w:type="dxa"/>
            <w:shd w:val="clear" w:color="auto" w:fill="auto"/>
            <w:noWrap/>
            <w:vAlign w:val="bottom"/>
            <w:hideMark/>
          </w:tcPr>
          <w:p w14:paraId="2CDF3991"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0AB0416D"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8747</w:t>
            </w:r>
          </w:p>
        </w:tc>
        <w:tc>
          <w:tcPr>
            <w:tcW w:w="1060" w:type="dxa"/>
            <w:shd w:val="clear" w:color="auto" w:fill="auto"/>
            <w:noWrap/>
            <w:vAlign w:val="bottom"/>
            <w:hideMark/>
          </w:tcPr>
          <w:p w14:paraId="26CAAC98"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34,357 </w:t>
            </w:r>
          </w:p>
        </w:tc>
      </w:tr>
      <w:tr w:rsidR="00935790" w:rsidRPr="00935790" w14:paraId="5C78FD8A" w14:textId="77777777" w:rsidTr="00F10848">
        <w:trPr>
          <w:trHeight w:val="420"/>
          <w:jc w:val="center"/>
        </w:trPr>
        <w:tc>
          <w:tcPr>
            <w:tcW w:w="3260" w:type="dxa"/>
            <w:shd w:val="clear" w:color="auto" w:fill="auto"/>
            <w:vAlign w:val="bottom"/>
            <w:hideMark/>
          </w:tcPr>
          <w:p w14:paraId="28A7F548"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Proyecto de Renovación y Actualización de Infraestructura de la SIP.</w:t>
            </w:r>
          </w:p>
        </w:tc>
        <w:tc>
          <w:tcPr>
            <w:tcW w:w="1276" w:type="dxa"/>
            <w:shd w:val="clear" w:color="auto" w:fill="auto"/>
            <w:noWrap/>
            <w:vAlign w:val="bottom"/>
            <w:hideMark/>
          </w:tcPr>
          <w:p w14:paraId="4E79939D"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HSBC</w:t>
            </w:r>
          </w:p>
        </w:tc>
        <w:tc>
          <w:tcPr>
            <w:tcW w:w="992" w:type="dxa"/>
            <w:shd w:val="clear" w:color="auto" w:fill="auto"/>
            <w:noWrap/>
            <w:vAlign w:val="bottom"/>
            <w:hideMark/>
          </w:tcPr>
          <w:p w14:paraId="2920BA50"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5834</w:t>
            </w:r>
          </w:p>
        </w:tc>
        <w:tc>
          <w:tcPr>
            <w:tcW w:w="1060" w:type="dxa"/>
            <w:shd w:val="clear" w:color="auto" w:fill="auto"/>
            <w:noWrap/>
            <w:vAlign w:val="bottom"/>
            <w:hideMark/>
          </w:tcPr>
          <w:p w14:paraId="67986574"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33,153 </w:t>
            </w:r>
          </w:p>
        </w:tc>
      </w:tr>
      <w:tr w:rsidR="00935790" w:rsidRPr="00935790" w14:paraId="15396FB4" w14:textId="77777777" w:rsidTr="00F10848">
        <w:trPr>
          <w:trHeight w:val="420"/>
          <w:jc w:val="center"/>
        </w:trPr>
        <w:tc>
          <w:tcPr>
            <w:tcW w:w="3260" w:type="dxa"/>
            <w:shd w:val="clear" w:color="auto" w:fill="auto"/>
            <w:vAlign w:val="center"/>
            <w:hideMark/>
          </w:tcPr>
          <w:p w14:paraId="28A36E47"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Federal: Programa para el Desarrollo Profesional Docente. (PRODEP) </w:t>
            </w:r>
          </w:p>
        </w:tc>
        <w:tc>
          <w:tcPr>
            <w:tcW w:w="1276" w:type="dxa"/>
            <w:shd w:val="clear" w:color="auto" w:fill="auto"/>
            <w:noWrap/>
            <w:vAlign w:val="bottom"/>
            <w:hideMark/>
          </w:tcPr>
          <w:p w14:paraId="20CA56C9"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0D703151"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6491</w:t>
            </w:r>
          </w:p>
        </w:tc>
        <w:tc>
          <w:tcPr>
            <w:tcW w:w="1060" w:type="dxa"/>
            <w:shd w:val="clear" w:color="auto" w:fill="auto"/>
            <w:noWrap/>
            <w:vAlign w:val="bottom"/>
            <w:hideMark/>
          </w:tcPr>
          <w:p w14:paraId="2420B12A"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132,979 </w:t>
            </w:r>
          </w:p>
        </w:tc>
      </w:tr>
      <w:tr w:rsidR="00935790" w:rsidRPr="00935790" w14:paraId="0C8A9539" w14:textId="77777777" w:rsidTr="00F10848">
        <w:trPr>
          <w:trHeight w:val="420"/>
          <w:jc w:val="center"/>
        </w:trPr>
        <w:tc>
          <w:tcPr>
            <w:tcW w:w="3260" w:type="dxa"/>
            <w:shd w:val="clear" w:color="auto" w:fill="auto"/>
            <w:vAlign w:val="bottom"/>
            <w:hideMark/>
          </w:tcPr>
          <w:p w14:paraId="577EFEE4"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Automanejo para mejorar la salud de personas con enfermedad crónica y cuidadores familiares</w:t>
            </w:r>
          </w:p>
        </w:tc>
        <w:tc>
          <w:tcPr>
            <w:tcW w:w="1276" w:type="dxa"/>
            <w:shd w:val="clear" w:color="auto" w:fill="auto"/>
            <w:noWrap/>
            <w:vAlign w:val="bottom"/>
            <w:hideMark/>
          </w:tcPr>
          <w:p w14:paraId="3E055B01"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6E80F799"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2057</w:t>
            </w:r>
          </w:p>
        </w:tc>
        <w:tc>
          <w:tcPr>
            <w:tcW w:w="1060" w:type="dxa"/>
            <w:shd w:val="clear" w:color="auto" w:fill="auto"/>
            <w:noWrap/>
            <w:vAlign w:val="bottom"/>
            <w:hideMark/>
          </w:tcPr>
          <w:p w14:paraId="64A7984C"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70,475 </w:t>
            </w:r>
          </w:p>
        </w:tc>
      </w:tr>
      <w:tr w:rsidR="00935790" w:rsidRPr="00935790" w14:paraId="1853F4CE" w14:textId="77777777" w:rsidTr="00F10848">
        <w:trPr>
          <w:trHeight w:val="210"/>
          <w:jc w:val="center"/>
        </w:trPr>
        <w:tc>
          <w:tcPr>
            <w:tcW w:w="3260" w:type="dxa"/>
            <w:shd w:val="clear" w:color="auto" w:fill="auto"/>
            <w:noWrap/>
            <w:vAlign w:val="bottom"/>
            <w:hideMark/>
          </w:tcPr>
          <w:p w14:paraId="3B8B579E"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proofErr w:type="spellStart"/>
            <w:r w:rsidRPr="00935790">
              <w:rPr>
                <w:rFonts w:ascii="Cambria" w:eastAsia="Times New Roman" w:hAnsi="Cambria" w:cs="Calibri"/>
                <w:color w:val="000000"/>
                <w:sz w:val="16"/>
                <w:szCs w:val="16"/>
                <w:lang w:eastAsia="es-MX"/>
              </w:rPr>
              <w:t>Efectis</w:t>
            </w:r>
            <w:proofErr w:type="spellEnd"/>
            <w:r w:rsidRPr="00935790">
              <w:rPr>
                <w:rFonts w:ascii="Cambria" w:eastAsia="Times New Roman" w:hAnsi="Cambria" w:cs="Calibri"/>
                <w:color w:val="000000"/>
                <w:sz w:val="16"/>
                <w:szCs w:val="16"/>
                <w:lang w:eastAsia="es-MX"/>
              </w:rPr>
              <w:t xml:space="preserve"> analgésico, </w:t>
            </w:r>
            <w:proofErr w:type="spellStart"/>
            <w:r w:rsidRPr="00935790">
              <w:rPr>
                <w:rFonts w:ascii="Cambria" w:eastAsia="Times New Roman" w:hAnsi="Cambria" w:cs="Calibri"/>
                <w:color w:val="000000"/>
                <w:sz w:val="16"/>
                <w:szCs w:val="16"/>
                <w:lang w:eastAsia="es-MX"/>
              </w:rPr>
              <w:t>anti-osteoporosis</w:t>
            </w:r>
            <w:proofErr w:type="spellEnd"/>
            <w:r w:rsidRPr="00935790">
              <w:rPr>
                <w:rFonts w:ascii="Cambria" w:eastAsia="Times New Roman" w:hAnsi="Cambria" w:cs="Calibri"/>
                <w:color w:val="000000"/>
                <w:sz w:val="16"/>
                <w:szCs w:val="16"/>
                <w:lang w:eastAsia="es-MX"/>
              </w:rPr>
              <w:t xml:space="preserve"> y </w:t>
            </w:r>
            <w:proofErr w:type="spellStart"/>
            <w:r w:rsidRPr="00935790">
              <w:rPr>
                <w:rFonts w:ascii="Cambria" w:eastAsia="Times New Roman" w:hAnsi="Cambria" w:cs="Calibri"/>
                <w:color w:val="000000"/>
                <w:sz w:val="16"/>
                <w:szCs w:val="16"/>
                <w:lang w:eastAsia="es-MX"/>
              </w:rPr>
              <w:t>neuroprotectores</w:t>
            </w:r>
            <w:proofErr w:type="spellEnd"/>
          </w:p>
        </w:tc>
        <w:tc>
          <w:tcPr>
            <w:tcW w:w="1276" w:type="dxa"/>
            <w:shd w:val="clear" w:color="auto" w:fill="auto"/>
            <w:noWrap/>
            <w:vAlign w:val="bottom"/>
            <w:hideMark/>
          </w:tcPr>
          <w:p w14:paraId="6BAD0CCE"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68D134D1"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2124</w:t>
            </w:r>
          </w:p>
        </w:tc>
        <w:tc>
          <w:tcPr>
            <w:tcW w:w="1060" w:type="dxa"/>
            <w:shd w:val="clear" w:color="auto" w:fill="auto"/>
            <w:noWrap/>
            <w:vAlign w:val="bottom"/>
            <w:hideMark/>
          </w:tcPr>
          <w:p w14:paraId="3CE42B0A"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140 </w:t>
            </w:r>
          </w:p>
        </w:tc>
      </w:tr>
      <w:tr w:rsidR="00935790" w:rsidRPr="00935790" w14:paraId="4D3D0A9C" w14:textId="77777777" w:rsidTr="00F10848">
        <w:trPr>
          <w:trHeight w:val="420"/>
          <w:jc w:val="center"/>
        </w:trPr>
        <w:tc>
          <w:tcPr>
            <w:tcW w:w="3260" w:type="dxa"/>
            <w:shd w:val="clear" w:color="auto" w:fill="auto"/>
            <w:vAlign w:val="bottom"/>
            <w:hideMark/>
          </w:tcPr>
          <w:p w14:paraId="67E331F7"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CONACYT: Patrimonio cultural y biocultural de la región mezcalera de la sierra de San Carlos.</w:t>
            </w:r>
          </w:p>
        </w:tc>
        <w:tc>
          <w:tcPr>
            <w:tcW w:w="1276" w:type="dxa"/>
            <w:shd w:val="clear" w:color="auto" w:fill="auto"/>
            <w:noWrap/>
            <w:vAlign w:val="bottom"/>
            <w:hideMark/>
          </w:tcPr>
          <w:p w14:paraId="1200B43D"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400F4407" w14:textId="4B8E0C56" w:rsidR="00935790" w:rsidRPr="00935790" w:rsidRDefault="004A3E37" w:rsidP="004A3E37">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935790" w:rsidRPr="00935790">
              <w:rPr>
                <w:rFonts w:ascii="Cambria" w:eastAsia="Times New Roman" w:hAnsi="Cambria" w:cs="Calibri"/>
                <w:color w:val="000000"/>
                <w:sz w:val="16"/>
                <w:szCs w:val="16"/>
                <w:lang w:eastAsia="es-MX"/>
              </w:rPr>
              <w:t>340</w:t>
            </w:r>
          </w:p>
        </w:tc>
        <w:tc>
          <w:tcPr>
            <w:tcW w:w="1060" w:type="dxa"/>
            <w:shd w:val="clear" w:color="auto" w:fill="auto"/>
            <w:noWrap/>
            <w:vAlign w:val="bottom"/>
            <w:hideMark/>
          </w:tcPr>
          <w:p w14:paraId="24B19F67"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50,715 </w:t>
            </w:r>
          </w:p>
        </w:tc>
      </w:tr>
      <w:tr w:rsidR="00935790" w:rsidRPr="00935790" w14:paraId="11F31D2C" w14:textId="77777777" w:rsidTr="00F10848">
        <w:trPr>
          <w:trHeight w:val="465"/>
          <w:jc w:val="center"/>
        </w:trPr>
        <w:tc>
          <w:tcPr>
            <w:tcW w:w="3260" w:type="dxa"/>
            <w:shd w:val="clear" w:color="auto" w:fill="auto"/>
            <w:vAlign w:val="bottom"/>
            <w:hideMark/>
          </w:tcPr>
          <w:p w14:paraId="39CCD47F"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Adquisición de servicio de suscripción para los productos web </w:t>
            </w:r>
            <w:proofErr w:type="spellStart"/>
            <w:r w:rsidRPr="00935790">
              <w:rPr>
                <w:rFonts w:ascii="Cambria" w:eastAsia="Times New Roman" w:hAnsi="Cambria" w:cs="Calibri"/>
                <w:color w:val="000000"/>
                <w:sz w:val="16"/>
                <w:szCs w:val="16"/>
                <w:lang w:eastAsia="es-MX"/>
              </w:rPr>
              <w:t>of</w:t>
            </w:r>
            <w:proofErr w:type="spellEnd"/>
            <w:r w:rsidRPr="00935790">
              <w:rPr>
                <w:rFonts w:ascii="Cambria" w:eastAsia="Times New Roman" w:hAnsi="Cambria" w:cs="Calibri"/>
                <w:color w:val="000000"/>
                <w:sz w:val="16"/>
                <w:szCs w:val="16"/>
                <w:lang w:eastAsia="es-MX"/>
              </w:rPr>
              <w:t xml:space="preserve"> </w:t>
            </w:r>
            <w:proofErr w:type="spellStart"/>
            <w:r w:rsidRPr="00935790">
              <w:rPr>
                <w:rFonts w:ascii="Cambria" w:eastAsia="Times New Roman" w:hAnsi="Cambria" w:cs="Calibri"/>
                <w:color w:val="000000"/>
                <w:sz w:val="16"/>
                <w:szCs w:val="16"/>
                <w:lang w:eastAsia="es-MX"/>
              </w:rPr>
              <w:t>science</w:t>
            </w:r>
            <w:proofErr w:type="spellEnd"/>
          </w:p>
        </w:tc>
        <w:tc>
          <w:tcPr>
            <w:tcW w:w="1276" w:type="dxa"/>
            <w:shd w:val="clear" w:color="auto" w:fill="auto"/>
            <w:noWrap/>
            <w:vAlign w:val="bottom"/>
            <w:hideMark/>
          </w:tcPr>
          <w:p w14:paraId="0200CD1B" w14:textId="77777777" w:rsidR="00935790" w:rsidRPr="00935790" w:rsidRDefault="00935790" w:rsidP="00F10848">
            <w:pPr>
              <w:spacing w:after="0" w:line="240" w:lineRule="auto"/>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BANORTE</w:t>
            </w:r>
          </w:p>
        </w:tc>
        <w:tc>
          <w:tcPr>
            <w:tcW w:w="992" w:type="dxa"/>
            <w:shd w:val="clear" w:color="auto" w:fill="auto"/>
            <w:noWrap/>
            <w:vAlign w:val="bottom"/>
            <w:hideMark/>
          </w:tcPr>
          <w:p w14:paraId="73C9246D" w14:textId="77777777" w:rsidR="00935790" w:rsidRPr="00935790" w:rsidRDefault="00935790" w:rsidP="004A3E37">
            <w:pPr>
              <w:spacing w:after="0" w:line="240" w:lineRule="auto"/>
              <w:jc w:val="center"/>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2229</w:t>
            </w:r>
          </w:p>
        </w:tc>
        <w:tc>
          <w:tcPr>
            <w:tcW w:w="1060" w:type="dxa"/>
            <w:shd w:val="clear" w:color="auto" w:fill="auto"/>
            <w:noWrap/>
            <w:vAlign w:val="bottom"/>
            <w:hideMark/>
          </w:tcPr>
          <w:p w14:paraId="06875C78"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 xml:space="preserve">                          1,230,096 </w:t>
            </w:r>
          </w:p>
        </w:tc>
      </w:tr>
      <w:tr w:rsidR="00935790" w:rsidRPr="00935790" w14:paraId="214198A2" w14:textId="77777777" w:rsidTr="00F10848">
        <w:trPr>
          <w:trHeight w:val="365"/>
          <w:jc w:val="center"/>
        </w:trPr>
        <w:tc>
          <w:tcPr>
            <w:tcW w:w="5528" w:type="dxa"/>
            <w:gridSpan w:val="3"/>
            <w:shd w:val="clear" w:color="auto" w:fill="auto"/>
            <w:vAlign w:val="bottom"/>
          </w:tcPr>
          <w:p w14:paraId="36B2CF97" w14:textId="77777777" w:rsidR="00935790" w:rsidRPr="00935790" w:rsidRDefault="00935790" w:rsidP="009B59FD">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TOTAL</w:t>
            </w:r>
          </w:p>
        </w:tc>
        <w:tc>
          <w:tcPr>
            <w:tcW w:w="1060" w:type="dxa"/>
            <w:shd w:val="clear" w:color="auto" w:fill="auto"/>
            <w:noWrap/>
            <w:vAlign w:val="bottom"/>
          </w:tcPr>
          <w:p w14:paraId="04D2ACF3" w14:textId="77777777" w:rsidR="00935790" w:rsidRPr="00935790" w:rsidRDefault="00935790" w:rsidP="00F10848">
            <w:pPr>
              <w:spacing w:after="0" w:line="240" w:lineRule="auto"/>
              <w:jc w:val="right"/>
              <w:rPr>
                <w:rFonts w:ascii="Cambria" w:eastAsia="Times New Roman" w:hAnsi="Cambria" w:cs="Calibri"/>
                <w:color w:val="000000"/>
                <w:sz w:val="16"/>
                <w:szCs w:val="16"/>
                <w:lang w:eastAsia="es-MX"/>
              </w:rPr>
            </w:pPr>
            <w:r w:rsidRPr="00935790">
              <w:rPr>
                <w:rFonts w:ascii="Cambria" w:eastAsia="Times New Roman" w:hAnsi="Cambria" w:cs="Calibri"/>
                <w:color w:val="000000"/>
                <w:sz w:val="16"/>
                <w:szCs w:val="16"/>
                <w:lang w:eastAsia="es-MX"/>
              </w:rPr>
              <w:t>$14,138,412</w:t>
            </w:r>
          </w:p>
        </w:tc>
      </w:tr>
    </w:tbl>
    <w:p w14:paraId="78BB4626" w14:textId="77777777" w:rsidR="00935790" w:rsidRDefault="00935790" w:rsidP="0056677B">
      <w:pPr>
        <w:spacing w:line="240" w:lineRule="auto"/>
        <w:ind w:left="1429"/>
        <w:jc w:val="both"/>
        <w:rPr>
          <w:rFonts w:ascii="Cambria" w:hAnsi="Cambria" w:cs="DIN Pro Regular"/>
          <w:sz w:val="20"/>
          <w:szCs w:val="20"/>
        </w:rPr>
      </w:pPr>
    </w:p>
    <w:p w14:paraId="4CEBB11C" w14:textId="77777777" w:rsidR="00CB6E1C" w:rsidRDefault="00CB6E1C" w:rsidP="007B3306">
      <w:pPr>
        <w:spacing w:after="0" w:line="240" w:lineRule="auto"/>
        <w:ind w:left="1429"/>
        <w:jc w:val="both"/>
        <w:rPr>
          <w:rFonts w:ascii="Cambria" w:hAnsi="Cambria" w:cs="DIN Pro Regular"/>
          <w:sz w:val="20"/>
          <w:szCs w:val="20"/>
        </w:rPr>
      </w:pPr>
    </w:p>
    <w:p w14:paraId="4E8FAF8A" w14:textId="77777777" w:rsidR="000B4EEC" w:rsidRPr="005B2D52" w:rsidRDefault="000B4EEC" w:rsidP="007B3306">
      <w:pPr>
        <w:pStyle w:val="Texto"/>
        <w:spacing w:after="0" w:line="240" w:lineRule="auto"/>
        <w:ind w:left="1429" w:firstLine="0"/>
        <w:rPr>
          <w:rFonts w:ascii="Cambria" w:hAnsi="Cambria" w:cs="DIN Pro Regular"/>
          <w:b/>
          <w:sz w:val="20"/>
          <w:lang w:val="es-MX"/>
        </w:rPr>
      </w:pPr>
    </w:p>
    <w:p w14:paraId="18194181" w14:textId="77777777" w:rsidR="00340C97" w:rsidRPr="005B2D52" w:rsidRDefault="00340C97" w:rsidP="007B3306">
      <w:pPr>
        <w:pStyle w:val="Texto"/>
        <w:spacing w:after="0" w:line="240" w:lineRule="auto"/>
        <w:ind w:left="1429" w:firstLine="0"/>
        <w:rPr>
          <w:rFonts w:ascii="Cambria" w:hAnsi="Cambria" w:cs="DIN Pro Regular"/>
          <w:b/>
          <w:sz w:val="20"/>
          <w:lang w:val="es-MX"/>
        </w:rPr>
      </w:pPr>
    </w:p>
    <w:p w14:paraId="057B05D8" w14:textId="58F0E7EE"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201203">
        <w:trPr>
          <w:cantSplit/>
          <w:trHeight w:val="315"/>
          <w:jc w:val="center"/>
        </w:trPr>
        <w:tc>
          <w:tcPr>
            <w:tcW w:w="4810" w:type="dxa"/>
            <w:shd w:val="clear" w:color="auto"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auto"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3081AB11" w:rsidR="00461A2F" w:rsidRPr="00461A2F" w:rsidRDefault="00263C1B"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78</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258</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426</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2B7A1F8C" w:rsidR="00461A2F" w:rsidRPr="00461A2F" w:rsidRDefault="00263C1B"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w:t>
            </w:r>
            <w:r w:rsidR="00461A2F" w:rsidRPr="00461A2F">
              <w:rPr>
                <w:rFonts w:ascii="Cambria" w:eastAsia="Times New Roman" w:hAnsi="Cambria" w:cs="DIN Pro Regular"/>
                <w:color w:val="000000"/>
                <w:sz w:val="16"/>
                <w:szCs w:val="16"/>
                <w:lang w:eastAsia="es-MX"/>
              </w:rPr>
              <w:t>,</w:t>
            </w:r>
            <w:r w:rsidR="00234F73">
              <w:rPr>
                <w:rFonts w:ascii="Cambria" w:eastAsia="Times New Roman" w:hAnsi="Cambria" w:cs="DIN Pro Regular"/>
                <w:color w:val="000000"/>
                <w:sz w:val="16"/>
                <w:szCs w:val="16"/>
                <w:lang w:eastAsia="es-MX"/>
              </w:rPr>
              <w:t>779</w:t>
            </w:r>
            <w:r w:rsidR="00461A2F" w:rsidRPr="00461A2F">
              <w:rPr>
                <w:rFonts w:ascii="Cambria" w:eastAsia="Times New Roman" w:hAnsi="Cambria" w:cs="DIN Pro Regular"/>
                <w:color w:val="000000"/>
                <w:sz w:val="16"/>
                <w:szCs w:val="16"/>
                <w:lang w:eastAsia="es-MX"/>
              </w:rPr>
              <w:t>,</w:t>
            </w:r>
            <w:r w:rsidR="00234F73">
              <w:rPr>
                <w:rFonts w:ascii="Cambria" w:eastAsia="Times New Roman" w:hAnsi="Cambria" w:cs="DIN Pro Regular"/>
                <w:color w:val="000000"/>
                <w:sz w:val="16"/>
                <w:szCs w:val="16"/>
                <w:lang w:eastAsia="es-MX"/>
              </w:rPr>
              <w:t>205</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64CF4C51" w:rsidR="00461A2F" w:rsidRPr="00461A2F" w:rsidRDefault="00263C1B"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305</w:t>
            </w:r>
            <w:r w:rsidR="005E0712">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22</w:t>
            </w:r>
            <w:r w:rsidR="00234F73">
              <w:rPr>
                <w:rFonts w:ascii="Cambria" w:eastAsia="Times New Roman" w:hAnsi="Cambria" w:cs="DIN Pro Regular"/>
                <w:color w:val="000000"/>
                <w:sz w:val="16"/>
                <w:szCs w:val="16"/>
                <w:lang w:eastAsia="es-MX"/>
              </w:rPr>
              <w:t>2</w:t>
            </w:r>
          </w:p>
        </w:tc>
      </w:tr>
      <w:tr w:rsidR="00461A2F" w:rsidRPr="00461A2F" w14:paraId="79E0FBDE" w14:textId="77777777" w:rsidTr="00C741AC">
        <w:trPr>
          <w:trHeight w:val="409"/>
          <w:jc w:val="center"/>
        </w:trPr>
        <w:tc>
          <w:tcPr>
            <w:tcW w:w="4810" w:type="dxa"/>
            <w:shd w:val="clear" w:color="auto" w:fill="auto"/>
            <w:vAlign w:val="center"/>
            <w:hideMark/>
          </w:tcPr>
          <w:p w14:paraId="1652DD19" w14:textId="4011E4BB"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w:t>
            </w:r>
            <w:r w:rsidR="0057184F">
              <w:rPr>
                <w:rFonts w:ascii="Cambria" w:eastAsia="Times New Roman" w:hAnsi="Cambria" w:cs="Calibri"/>
                <w:color w:val="000000"/>
                <w:sz w:val="16"/>
                <w:szCs w:val="16"/>
                <w:lang w:eastAsia="es-MX"/>
              </w:rPr>
              <w:t xml:space="preserve"> y prestación de servicios</w:t>
            </w:r>
            <w:r w:rsidRPr="00461A2F">
              <w:rPr>
                <w:rFonts w:ascii="Cambria" w:eastAsia="Times New Roman" w:hAnsi="Cambria" w:cs="Calibri"/>
                <w:color w:val="000000"/>
                <w:sz w:val="16"/>
                <w:szCs w:val="16"/>
                <w:lang w:eastAsia="es-MX"/>
              </w:rPr>
              <w:t xml:space="preserve"> a corto plazo</w:t>
            </w:r>
          </w:p>
        </w:tc>
        <w:tc>
          <w:tcPr>
            <w:tcW w:w="1743" w:type="dxa"/>
            <w:shd w:val="clear" w:color="auto" w:fill="auto"/>
            <w:vAlign w:val="center"/>
            <w:hideMark/>
          </w:tcPr>
          <w:p w14:paraId="03F8C66D" w14:textId="4E993C8B" w:rsidR="00461A2F" w:rsidRPr="00461A2F" w:rsidRDefault="00263C1B"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754</w:t>
            </w:r>
            <w:r w:rsidR="00FD5AFC">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030</w:t>
            </w:r>
          </w:p>
        </w:tc>
      </w:tr>
      <w:tr w:rsidR="00FD5AFC" w:rsidRPr="00461A2F" w14:paraId="5BC403D8" w14:textId="77777777" w:rsidTr="00C741AC">
        <w:trPr>
          <w:trHeight w:val="409"/>
          <w:jc w:val="center"/>
        </w:trPr>
        <w:tc>
          <w:tcPr>
            <w:tcW w:w="4810" w:type="dxa"/>
            <w:shd w:val="clear" w:color="auto" w:fill="auto"/>
            <w:vAlign w:val="center"/>
          </w:tcPr>
          <w:p w14:paraId="730C1D04" w14:textId="6776C7C3"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tcPr>
          <w:p w14:paraId="32C21C4A" w14:textId="1A355E9D" w:rsidR="00FD5AFC" w:rsidRDefault="00F42DA7"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w:t>
            </w:r>
            <w:r w:rsidR="00263C1B">
              <w:rPr>
                <w:rFonts w:ascii="Cambria" w:eastAsia="Times New Roman" w:hAnsi="Cambria" w:cs="Calibri"/>
                <w:color w:val="000000"/>
                <w:sz w:val="16"/>
                <w:szCs w:val="16"/>
                <w:lang w:eastAsia="es-MX"/>
              </w:rPr>
              <w:t>287</w:t>
            </w:r>
            <w:r w:rsidR="00FD5AFC">
              <w:rPr>
                <w:rFonts w:ascii="Cambria" w:eastAsia="Times New Roman" w:hAnsi="Cambria" w:cs="Calibri"/>
                <w:color w:val="000000"/>
                <w:sz w:val="16"/>
                <w:szCs w:val="16"/>
                <w:lang w:eastAsia="es-MX"/>
              </w:rPr>
              <w:t>,</w:t>
            </w:r>
            <w:r w:rsidR="00263C1B">
              <w:rPr>
                <w:rFonts w:ascii="Cambria" w:eastAsia="Times New Roman" w:hAnsi="Cambria" w:cs="Calibri"/>
                <w:color w:val="000000"/>
                <w:sz w:val="16"/>
                <w:szCs w:val="16"/>
                <w:lang w:eastAsia="es-MX"/>
              </w:rPr>
              <w:t>336</w:t>
            </w:r>
          </w:p>
        </w:tc>
      </w:tr>
      <w:tr w:rsidR="00FD5AFC" w:rsidRPr="00461A2F" w14:paraId="545BB3B0" w14:textId="77777777" w:rsidTr="009C2472">
        <w:trPr>
          <w:trHeight w:val="435"/>
          <w:jc w:val="center"/>
        </w:trPr>
        <w:tc>
          <w:tcPr>
            <w:tcW w:w="4810" w:type="dxa"/>
            <w:shd w:val="clear" w:color="auto" w:fill="auto"/>
            <w:vAlign w:val="center"/>
            <w:hideMark/>
          </w:tcPr>
          <w:p w14:paraId="472B5D4C" w14:textId="77777777"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08185DE6" w:rsidR="00FD5AFC" w:rsidRPr="00461A2F" w:rsidRDefault="00263C1B"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11</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930</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048</w:t>
            </w:r>
          </w:p>
        </w:tc>
      </w:tr>
      <w:tr w:rsidR="00FD5AFC" w:rsidRPr="00461A2F" w14:paraId="2EDB51BA" w14:textId="77777777" w:rsidTr="009C2472">
        <w:trPr>
          <w:trHeight w:val="315"/>
          <w:jc w:val="center"/>
        </w:trPr>
        <w:tc>
          <w:tcPr>
            <w:tcW w:w="4810" w:type="dxa"/>
            <w:shd w:val="clear" w:color="000000" w:fill="FFFFFF"/>
            <w:vAlign w:val="center"/>
            <w:hideMark/>
          </w:tcPr>
          <w:p w14:paraId="5D09559B" w14:textId="77777777" w:rsidR="00FD5AFC" w:rsidRPr="00461A2F" w:rsidRDefault="00FD5AFC" w:rsidP="0057184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76C153C2" w:rsidR="00FD5AFC" w:rsidRPr="00461A2F" w:rsidRDefault="00FD5AFC" w:rsidP="00FD5AFC">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112A1E">
              <w:rPr>
                <w:rFonts w:ascii="Cambria" w:eastAsia="Times New Roman" w:hAnsi="Cambria" w:cs="Calibri"/>
                <w:color w:val="000000"/>
                <w:sz w:val="16"/>
                <w:szCs w:val="16"/>
                <w:lang w:eastAsia="es-MX"/>
              </w:rPr>
              <w:t>100</w:t>
            </w:r>
            <w:r w:rsidRPr="00461A2F">
              <w:rPr>
                <w:rFonts w:ascii="Cambria" w:eastAsia="Times New Roman" w:hAnsi="Cambria" w:cs="Calibri"/>
                <w:color w:val="000000"/>
                <w:sz w:val="16"/>
                <w:szCs w:val="16"/>
                <w:lang w:eastAsia="es-MX"/>
              </w:rPr>
              <w:t>,</w:t>
            </w:r>
            <w:r w:rsidR="00914596">
              <w:rPr>
                <w:rFonts w:ascii="Cambria" w:eastAsia="Times New Roman" w:hAnsi="Cambria" w:cs="Calibri"/>
                <w:color w:val="000000"/>
                <w:sz w:val="16"/>
                <w:szCs w:val="16"/>
                <w:lang w:eastAsia="es-MX"/>
              </w:rPr>
              <w:t>314</w:t>
            </w:r>
            <w:r w:rsidRPr="00461A2F">
              <w:rPr>
                <w:rFonts w:ascii="Cambria" w:eastAsia="Times New Roman" w:hAnsi="Cambria" w:cs="Calibri"/>
                <w:color w:val="000000"/>
                <w:sz w:val="16"/>
                <w:szCs w:val="16"/>
                <w:lang w:eastAsia="es-MX"/>
              </w:rPr>
              <w:t>,</w:t>
            </w:r>
            <w:r w:rsidR="00914596">
              <w:rPr>
                <w:rFonts w:ascii="Cambria" w:eastAsia="Times New Roman" w:hAnsi="Cambria" w:cs="Calibri"/>
                <w:color w:val="000000"/>
                <w:sz w:val="16"/>
                <w:szCs w:val="16"/>
                <w:lang w:eastAsia="es-MX"/>
              </w:rPr>
              <w:t>2</w:t>
            </w:r>
            <w:r w:rsidR="00112A1E">
              <w:rPr>
                <w:rFonts w:ascii="Cambria" w:eastAsia="Times New Roman" w:hAnsi="Cambria" w:cs="Calibri"/>
                <w:color w:val="000000"/>
                <w:sz w:val="16"/>
                <w:szCs w:val="16"/>
                <w:lang w:eastAsia="es-MX"/>
              </w:rPr>
              <w:t>6</w:t>
            </w:r>
            <w:r w:rsidR="00234F73">
              <w:rPr>
                <w:rFonts w:ascii="Cambria" w:eastAsia="Times New Roman" w:hAnsi="Cambria" w:cs="Calibri"/>
                <w:color w:val="000000"/>
                <w:sz w:val="16"/>
                <w:szCs w:val="16"/>
                <w:lang w:eastAsia="es-MX"/>
              </w:rPr>
              <w:t>7</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747006C4"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B7195D">
        <w:rPr>
          <w:rFonts w:ascii="Cambria" w:hAnsi="Cambria" w:cs="DIN Pro Regular"/>
          <w:sz w:val="20"/>
          <w:szCs w:val="20"/>
        </w:rPr>
        <w:t>31 de diciembre</w:t>
      </w:r>
      <w:r w:rsidRPr="00E020BE">
        <w:rPr>
          <w:rFonts w:ascii="Cambria" w:hAnsi="Cambria" w:cs="DIN Pro Regular"/>
          <w:sz w:val="20"/>
          <w:szCs w:val="20"/>
        </w:rPr>
        <w:t xml:space="preserve"> de </w:t>
      </w:r>
      <w:r w:rsidR="00C5604D">
        <w:rPr>
          <w:rFonts w:ascii="Cambria" w:hAnsi="Cambria" w:cs="DIN Pro Regular"/>
          <w:sz w:val="20"/>
          <w:szCs w:val="20"/>
        </w:rPr>
        <w:t>2023</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4B1EAA">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lastRenderedPageBreak/>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00F9D012"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B7195D">
        <w:rPr>
          <w:rFonts w:ascii="Cambria" w:hAnsi="Cambria" w:cs="DIN Pro Regular"/>
          <w:sz w:val="20"/>
          <w:szCs w:val="20"/>
        </w:rPr>
        <w:t>31 de diciembre</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 xml:space="preserve">de </w:t>
      </w:r>
      <w:r w:rsidR="00A40531">
        <w:rPr>
          <w:rFonts w:ascii="Cambria" w:hAnsi="Cambria" w:cs="DIN Pro Regular"/>
          <w:sz w:val="20"/>
          <w:szCs w:val="20"/>
        </w:rPr>
        <w:t>2023</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0D6B36">
        <w:rPr>
          <w:rFonts w:ascii="Cambria" w:hAnsi="Cambria" w:cs="DIN Pro Regular"/>
          <w:sz w:val="20"/>
          <w:szCs w:val="20"/>
        </w:rPr>
        <w:t>71</w:t>
      </w:r>
      <w:r w:rsidR="004F0A1B" w:rsidRPr="00E020BE">
        <w:rPr>
          <w:rFonts w:ascii="Cambria" w:hAnsi="Cambria" w:cs="DIN Pro Regular"/>
          <w:sz w:val="20"/>
          <w:szCs w:val="20"/>
        </w:rPr>
        <w:t>,</w:t>
      </w:r>
      <w:r w:rsidR="000D6B36">
        <w:rPr>
          <w:rFonts w:ascii="Cambria" w:hAnsi="Cambria" w:cs="DIN Pro Regular"/>
          <w:sz w:val="20"/>
          <w:szCs w:val="20"/>
        </w:rPr>
        <w:t>921</w:t>
      </w:r>
      <w:r w:rsidR="004F0A1B" w:rsidRPr="00E020BE">
        <w:rPr>
          <w:rFonts w:ascii="Cambria" w:hAnsi="Cambria" w:cs="DIN Pro Regular"/>
          <w:sz w:val="20"/>
          <w:szCs w:val="20"/>
        </w:rPr>
        <w:t>,</w:t>
      </w:r>
      <w:r w:rsidR="000D6B36">
        <w:rPr>
          <w:rFonts w:ascii="Cambria" w:hAnsi="Cambria" w:cs="DIN Pro Regular"/>
          <w:sz w:val="20"/>
          <w:szCs w:val="20"/>
        </w:rPr>
        <w:t>589</w:t>
      </w:r>
      <w:r w:rsidR="004F0A1B" w:rsidRPr="00E020BE">
        <w:rPr>
          <w:rFonts w:ascii="Cambria" w:hAnsi="Cambria" w:cs="DIN Pro Regular"/>
          <w:sz w:val="20"/>
          <w:szCs w:val="20"/>
        </w:rPr>
        <w:t xml:space="preserve"> pesos los cuales se integran de la siguiente manera:</w:t>
      </w:r>
    </w:p>
    <w:tbl>
      <w:tblPr>
        <w:tblW w:w="5863" w:type="dxa"/>
        <w:jc w:val="center"/>
        <w:tblCellMar>
          <w:left w:w="70" w:type="dxa"/>
          <w:right w:w="70" w:type="dxa"/>
        </w:tblCellMar>
        <w:tblLook w:val="04A0" w:firstRow="1" w:lastRow="0" w:firstColumn="1" w:lastColumn="0" w:noHBand="0" w:noVBand="1"/>
      </w:tblPr>
      <w:tblGrid>
        <w:gridCol w:w="3120"/>
        <w:gridCol w:w="2743"/>
      </w:tblGrid>
      <w:tr w:rsidR="001E5CA9" w:rsidRPr="001E5CA9" w14:paraId="01EBC6B1" w14:textId="77777777" w:rsidTr="00CB448D">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2F3898D" w14:textId="77777777" w:rsidR="001E5CA9" w:rsidRPr="001E5CA9" w:rsidRDefault="001E5CA9" w:rsidP="001E5CA9">
            <w:pPr>
              <w:spacing w:after="0" w:line="240" w:lineRule="auto"/>
              <w:jc w:val="center"/>
              <w:rPr>
                <w:rFonts w:ascii="Cambria" w:eastAsia="Times New Roman" w:hAnsi="Cambria" w:cs="Calibri"/>
                <w:b/>
                <w:bCs/>
                <w:color w:val="FFFFFF"/>
                <w:sz w:val="16"/>
                <w:szCs w:val="16"/>
                <w:lang w:eastAsia="es-MX"/>
              </w:rPr>
            </w:pPr>
            <w:r w:rsidRPr="001E5CA9">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auto" w:fill="00426A"/>
            <w:noWrap/>
            <w:vAlign w:val="center"/>
            <w:hideMark/>
          </w:tcPr>
          <w:p w14:paraId="43F0A4B7" w14:textId="5BAE883C" w:rsidR="001E5CA9" w:rsidRPr="001E5CA9" w:rsidRDefault="001E5CA9" w:rsidP="001E5CA9">
            <w:pPr>
              <w:spacing w:after="0" w:line="240" w:lineRule="auto"/>
              <w:jc w:val="center"/>
              <w:rPr>
                <w:rFonts w:ascii="Cambria" w:eastAsia="Times New Roman" w:hAnsi="Cambria" w:cs="DIN Pro Regular"/>
                <w:b/>
                <w:bCs/>
                <w:color w:val="FFFFFF" w:themeColor="background1"/>
                <w:sz w:val="16"/>
                <w:szCs w:val="16"/>
                <w:lang w:eastAsia="es-MX"/>
              </w:rPr>
            </w:pPr>
            <w:r w:rsidRPr="00CB448D">
              <w:rPr>
                <w:rFonts w:ascii="Cambria" w:eastAsia="Times New Roman" w:hAnsi="Cambria" w:cs="DIN Pro Regular"/>
                <w:b/>
                <w:bCs/>
                <w:color w:val="FFFFFF" w:themeColor="background1"/>
                <w:sz w:val="16"/>
                <w:szCs w:val="16"/>
                <w:lang w:eastAsia="es-MX"/>
              </w:rPr>
              <w:t>SALDO</w:t>
            </w:r>
            <w:r w:rsidRPr="001E5CA9">
              <w:rPr>
                <w:rFonts w:ascii="Cambria" w:eastAsia="Times New Roman" w:hAnsi="Cambria" w:cs="DIN Pro Regular"/>
                <w:b/>
                <w:bCs/>
                <w:color w:val="FFFFFF" w:themeColor="background1"/>
                <w:sz w:val="16"/>
                <w:szCs w:val="16"/>
                <w:lang w:eastAsia="es-MX"/>
              </w:rPr>
              <w:t> </w:t>
            </w:r>
          </w:p>
        </w:tc>
      </w:tr>
      <w:tr w:rsidR="001E5CA9" w:rsidRPr="001E5CA9" w14:paraId="0BD49115"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4D322F58"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194F21E8" w14:textId="5EB4A8C3"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w:t>
            </w:r>
            <w:r w:rsidR="000D6B36">
              <w:rPr>
                <w:rFonts w:ascii="Cambria" w:eastAsia="Times New Roman" w:hAnsi="Cambria" w:cs="Calibri"/>
                <w:color w:val="000000"/>
                <w:sz w:val="16"/>
                <w:szCs w:val="16"/>
                <w:lang w:eastAsia="es-MX"/>
              </w:rPr>
              <w:t>71</w:t>
            </w:r>
            <w:r w:rsidRPr="001E5CA9">
              <w:rPr>
                <w:rFonts w:ascii="Cambria" w:eastAsia="Times New Roman" w:hAnsi="Cambria" w:cs="Calibri"/>
                <w:color w:val="000000"/>
                <w:sz w:val="16"/>
                <w:szCs w:val="16"/>
                <w:lang w:eastAsia="es-MX"/>
              </w:rPr>
              <w:t>,</w:t>
            </w:r>
            <w:r w:rsidR="000D6B36">
              <w:rPr>
                <w:rFonts w:ascii="Cambria" w:eastAsia="Times New Roman" w:hAnsi="Cambria" w:cs="Calibri"/>
                <w:color w:val="000000"/>
                <w:sz w:val="16"/>
                <w:szCs w:val="16"/>
                <w:lang w:eastAsia="es-MX"/>
              </w:rPr>
              <w:t>921</w:t>
            </w:r>
            <w:r w:rsidRPr="001E5CA9">
              <w:rPr>
                <w:rFonts w:ascii="Cambria" w:eastAsia="Times New Roman" w:hAnsi="Cambria" w:cs="Calibri"/>
                <w:color w:val="000000"/>
                <w:sz w:val="16"/>
                <w:szCs w:val="16"/>
                <w:lang w:eastAsia="es-MX"/>
              </w:rPr>
              <w:t>,</w:t>
            </w:r>
            <w:r w:rsidR="000D6B36">
              <w:rPr>
                <w:rFonts w:ascii="Cambria" w:eastAsia="Times New Roman" w:hAnsi="Cambria" w:cs="Calibri"/>
                <w:color w:val="000000"/>
                <w:sz w:val="16"/>
                <w:szCs w:val="16"/>
                <w:lang w:eastAsia="es-MX"/>
              </w:rPr>
              <w:t>589</w:t>
            </w:r>
            <w:r w:rsidRPr="001E5CA9">
              <w:rPr>
                <w:rFonts w:ascii="Cambria" w:eastAsia="Times New Roman" w:hAnsi="Cambria" w:cs="Calibri"/>
                <w:color w:val="000000"/>
                <w:sz w:val="16"/>
                <w:szCs w:val="16"/>
                <w:lang w:eastAsia="es-MX"/>
              </w:rPr>
              <w:t xml:space="preserve"> </w:t>
            </w:r>
          </w:p>
        </w:tc>
      </w:tr>
      <w:tr w:rsidR="001E5CA9" w:rsidRPr="001E5CA9" w14:paraId="4FA81322" w14:textId="77777777" w:rsidTr="001E5CA9">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312BCBA0" w14:textId="77777777" w:rsidR="001E5CA9" w:rsidRPr="00A57F8F" w:rsidRDefault="001E5CA9" w:rsidP="001E5CA9">
            <w:pPr>
              <w:spacing w:after="0" w:line="240" w:lineRule="auto"/>
              <w:jc w:val="right"/>
              <w:rPr>
                <w:rFonts w:ascii="Cambria" w:eastAsia="Times New Roman" w:hAnsi="Cambria" w:cs="Calibri"/>
                <w:sz w:val="16"/>
                <w:szCs w:val="16"/>
                <w:lang w:eastAsia="es-MX"/>
              </w:rPr>
            </w:pPr>
            <w:r w:rsidRPr="00A57F8F">
              <w:rPr>
                <w:rFonts w:ascii="Cambria" w:eastAsia="Times New Roman" w:hAnsi="Cambria" w:cs="Calibri"/>
                <w:sz w:val="16"/>
                <w:szCs w:val="16"/>
                <w:lang w:eastAsia="es-MX"/>
              </w:rPr>
              <w:t xml:space="preserve">TOTAL   </w:t>
            </w:r>
          </w:p>
        </w:tc>
        <w:tc>
          <w:tcPr>
            <w:tcW w:w="2743" w:type="dxa"/>
            <w:tcBorders>
              <w:top w:val="nil"/>
              <w:left w:val="nil"/>
              <w:bottom w:val="single" w:sz="4" w:space="0" w:color="auto"/>
              <w:right w:val="single" w:sz="4" w:space="0" w:color="auto"/>
            </w:tcBorders>
            <w:shd w:val="clear" w:color="000000" w:fill="FFFFFF"/>
            <w:noWrap/>
            <w:vAlign w:val="center"/>
            <w:hideMark/>
          </w:tcPr>
          <w:p w14:paraId="782F74FD" w14:textId="79C31067" w:rsidR="001E5CA9" w:rsidRPr="001E5CA9" w:rsidRDefault="001E5CA9" w:rsidP="001E5CA9">
            <w:pPr>
              <w:spacing w:after="0" w:line="240" w:lineRule="auto"/>
              <w:jc w:val="right"/>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w:t>
            </w:r>
            <w:r w:rsidR="000D6B36">
              <w:rPr>
                <w:rFonts w:ascii="Cambria" w:eastAsia="Times New Roman" w:hAnsi="Cambria" w:cs="Calibri"/>
                <w:sz w:val="16"/>
                <w:szCs w:val="16"/>
                <w:lang w:eastAsia="es-MX"/>
              </w:rPr>
              <w:t>71</w:t>
            </w:r>
            <w:r w:rsidRPr="001E5CA9">
              <w:rPr>
                <w:rFonts w:ascii="Cambria" w:eastAsia="Times New Roman" w:hAnsi="Cambria" w:cs="Calibri"/>
                <w:sz w:val="16"/>
                <w:szCs w:val="16"/>
                <w:lang w:eastAsia="es-MX"/>
              </w:rPr>
              <w:t>,</w:t>
            </w:r>
            <w:r w:rsidR="000D6B36">
              <w:rPr>
                <w:rFonts w:ascii="Cambria" w:eastAsia="Times New Roman" w:hAnsi="Cambria" w:cs="Calibri"/>
                <w:sz w:val="16"/>
                <w:szCs w:val="16"/>
                <w:lang w:eastAsia="es-MX"/>
              </w:rPr>
              <w:t>921</w:t>
            </w:r>
            <w:r w:rsidRPr="001E5CA9">
              <w:rPr>
                <w:rFonts w:ascii="Cambria" w:eastAsia="Times New Roman" w:hAnsi="Cambria" w:cs="Calibri"/>
                <w:sz w:val="16"/>
                <w:szCs w:val="16"/>
                <w:lang w:eastAsia="es-MX"/>
              </w:rPr>
              <w:t>,</w:t>
            </w:r>
            <w:r w:rsidR="000D6B36">
              <w:rPr>
                <w:rFonts w:ascii="Cambria" w:eastAsia="Times New Roman" w:hAnsi="Cambria" w:cs="Calibri"/>
                <w:sz w:val="16"/>
                <w:szCs w:val="16"/>
                <w:lang w:eastAsia="es-MX"/>
              </w:rPr>
              <w:t>589</w:t>
            </w:r>
          </w:p>
        </w:tc>
      </w:tr>
    </w:tbl>
    <w:p w14:paraId="7BA9C5BF" w14:textId="77777777" w:rsidR="00870938" w:rsidRDefault="00870938" w:rsidP="00D673BE">
      <w:pPr>
        <w:spacing w:after="0" w:line="240" w:lineRule="auto"/>
        <w:ind w:left="1429"/>
        <w:jc w:val="both"/>
        <w:rPr>
          <w:rFonts w:ascii="Cambria" w:hAnsi="Cambria" w:cs="DIN Pro Regular"/>
          <w:sz w:val="20"/>
          <w:szCs w:val="20"/>
        </w:rPr>
      </w:pPr>
    </w:p>
    <w:p w14:paraId="043191AB" w14:textId="77777777" w:rsidR="00D673BE" w:rsidRDefault="00D673BE" w:rsidP="00D673BE">
      <w:pPr>
        <w:spacing w:after="0"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5966BFFE" w14:textId="443DA82B" w:rsidR="004F0A1B"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7EC8508D" w14:textId="77777777" w:rsidR="0073739D" w:rsidRPr="009C2472" w:rsidRDefault="0073739D" w:rsidP="0073739D">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6DC134D" w14:textId="77777777" w:rsidR="0073739D" w:rsidRDefault="0073739D" w:rsidP="00831463">
      <w:pPr>
        <w:spacing w:line="240" w:lineRule="auto"/>
        <w:ind w:left="1429"/>
        <w:jc w:val="both"/>
        <w:rPr>
          <w:rFonts w:ascii="Cambria" w:hAnsi="Cambria" w:cs="DIN Pro Regular"/>
          <w:sz w:val="20"/>
          <w:szCs w:val="20"/>
        </w:rPr>
      </w:pPr>
    </w:p>
    <w:p w14:paraId="4E624D62" w14:textId="4B848148"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56356C02"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B7195D">
        <w:rPr>
          <w:rFonts w:ascii="Cambria" w:hAnsi="Cambria" w:cs="DIN Pro Regular"/>
          <w:sz w:val="20"/>
          <w:szCs w:val="20"/>
        </w:rPr>
        <w:t>31 de diciembre</w:t>
      </w:r>
      <w:r w:rsidRPr="00E020BE">
        <w:rPr>
          <w:rFonts w:ascii="Cambria" w:hAnsi="Cambria" w:cs="DIN Pro Regular"/>
          <w:sz w:val="20"/>
          <w:szCs w:val="20"/>
        </w:rPr>
        <w:t xml:space="preserve"> de </w:t>
      </w:r>
      <w:r w:rsidR="00231C0D">
        <w:rPr>
          <w:rFonts w:ascii="Cambria" w:hAnsi="Cambria" w:cs="DIN Pro Regular"/>
          <w:sz w:val="20"/>
          <w:szCs w:val="20"/>
        </w:rPr>
        <w:t>2023</w:t>
      </w:r>
      <w:r w:rsidR="000B4EEC" w:rsidRPr="00E020BE">
        <w:rPr>
          <w:rFonts w:ascii="Cambria" w:hAnsi="Cambria" w:cs="DIN Pro Regular"/>
          <w:sz w:val="20"/>
          <w:szCs w:val="20"/>
        </w:rPr>
        <w:t xml:space="preserve"> tiene un valor de $</w:t>
      </w:r>
      <w:r w:rsidR="00AE7C28">
        <w:rPr>
          <w:rFonts w:ascii="Cambria" w:hAnsi="Cambria" w:cs="DIN Pro Regular"/>
          <w:sz w:val="20"/>
          <w:szCs w:val="20"/>
        </w:rPr>
        <w:t>3</w:t>
      </w:r>
      <w:r w:rsidR="000B4EEC" w:rsidRPr="00E020BE">
        <w:rPr>
          <w:rFonts w:ascii="Cambria" w:hAnsi="Cambria" w:cs="DIN Pro Regular"/>
          <w:sz w:val="20"/>
          <w:szCs w:val="20"/>
        </w:rPr>
        <w:t>,</w:t>
      </w:r>
      <w:r w:rsidR="00AE7C28">
        <w:rPr>
          <w:rFonts w:ascii="Cambria" w:hAnsi="Cambria" w:cs="DIN Pro Regular"/>
          <w:sz w:val="20"/>
          <w:szCs w:val="20"/>
        </w:rPr>
        <w:t>008</w:t>
      </w:r>
      <w:r w:rsidR="000B4EEC" w:rsidRPr="00E020BE">
        <w:rPr>
          <w:rFonts w:ascii="Cambria" w:hAnsi="Cambria" w:cs="DIN Pro Regular"/>
          <w:sz w:val="20"/>
          <w:szCs w:val="20"/>
        </w:rPr>
        <w:t>,</w:t>
      </w:r>
      <w:r w:rsidR="00AE7C28">
        <w:rPr>
          <w:rFonts w:ascii="Cambria" w:hAnsi="Cambria" w:cs="DIN Pro Regular"/>
          <w:sz w:val="20"/>
          <w:szCs w:val="20"/>
        </w:rPr>
        <w:t>714</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AF3835">
      <w:pPr>
        <w:spacing w:after="0" w:line="240" w:lineRule="auto"/>
        <w:ind w:left="708"/>
        <w:jc w:val="both"/>
        <w:rPr>
          <w:rFonts w:ascii="Cambria" w:hAnsi="Cambria" w:cs="DIN Pro Regular"/>
          <w:b/>
          <w:sz w:val="20"/>
          <w:szCs w:val="20"/>
        </w:rPr>
      </w:pPr>
    </w:p>
    <w:p w14:paraId="155AD7B5" w14:textId="77777777" w:rsidR="00FB3352" w:rsidRDefault="00FB3352" w:rsidP="00AF3835">
      <w:pPr>
        <w:spacing w:line="240" w:lineRule="auto"/>
        <w:ind w:left="708"/>
        <w:jc w:val="both"/>
        <w:rPr>
          <w:rFonts w:ascii="Cambria" w:hAnsi="Cambria" w:cs="DIN Pro Regular"/>
          <w:b/>
          <w:sz w:val="20"/>
          <w:szCs w:val="20"/>
        </w:rPr>
      </w:pPr>
    </w:p>
    <w:p w14:paraId="4A6179AE" w14:textId="77777777" w:rsidR="004B1EAA" w:rsidRDefault="004B1EAA" w:rsidP="00AF3835">
      <w:pPr>
        <w:spacing w:line="240" w:lineRule="auto"/>
        <w:ind w:left="708"/>
        <w:jc w:val="both"/>
        <w:rPr>
          <w:rFonts w:ascii="Cambria" w:hAnsi="Cambria" w:cs="DIN Pro Regular"/>
          <w:b/>
          <w:sz w:val="20"/>
          <w:szCs w:val="20"/>
        </w:rPr>
      </w:pPr>
    </w:p>
    <w:p w14:paraId="7415A1D4" w14:textId="77777777" w:rsidR="004F0A1B" w:rsidRPr="00E020BE" w:rsidRDefault="004F0A1B" w:rsidP="00AF3835">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1A2C5B78" w14:textId="77777777" w:rsidR="00AE7C28" w:rsidRPr="00C06529" w:rsidRDefault="00AE7C28" w:rsidP="00AE7C28">
      <w:pPr>
        <w:spacing w:after="0" w:line="240" w:lineRule="auto"/>
        <w:ind w:left="708"/>
        <w:jc w:val="both"/>
        <w:rPr>
          <w:rFonts w:ascii="Cambria" w:hAnsi="Cambria" w:cs="Arial"/>
          <w:b/>
          <w:sz w:val="20"/>
          <w:szCs w:val="20"/>
        </w:rPr>
      </w:pPr>
      <w:r w:rsidRPr="007808C9">
        <w:rPr>
          <w:rFonts w:ascii="Cambria" w:hAnsi="Cambria" w:cs="Arial"/>
          <w:sz w:val="20"/>
          <w:szCs w:val="20"/>
        </w:rPr>
        <w:t xml:space="preserve">Representa </w:t>
      </w:r>
      <w:r>
        <w:rPr>
          <w:rFonts w:ascii="Cambria" w:hAnsi="Cambria" w:cs="Arial"/>
          <w:sz w:val="20"/>
          <w:szCs w:val="20"/>
        </w:rPr>
        <w:t>cheque en garantía otorgado a la Secretaría de Salud del Gobierno el Estado de Tamaulipas que a</w:t>
      </w:r>
      <w:r w:rsidRPr="00C06529">
        <w:rPr>
          <w:rFonts w:ascii="Cambria" w:hAnsi="Cambria" w:cs="Arial"/>
          <w:sz w:val="20"/>
          <w:szCs w:val="20"/>
        </w:rPr>
        <w:t xml:space="preserve">l </w:t>
      </w:r>
      <w:r>
        <w:rPr>
          <w:rFonts w:ascii="Cambria" w:hAnsi="Cambria" w:cs="Arial"/>
          <w:sz w:val="20"/>
          <w:szCs w:val="20"/>
        </w:rPr>
        <w:t>31 de diciembre de 2023</w:t>
      </w:r>
      <w:r w:rsidRPr="00C06529">
        <w:rPr>
          <w:rFonts w:ascii="Cambria" w:hAnsi="Cambria" w:cs="Arial"/>
          <w:sz w:val="20"/>
          <w:szCs w:val="20"/>
        </w:rPr>
        <w:t xml:space="preserve"> </w:t>
      </w:r>
      <w:r>
        <w:rPr>
          <w:rFonts w:ascii="Cambria" w:hAnsi="Cambria" w:cs="Arial"/>
          <w:sz w:val="20"/>
          <w:szCs w:val="20"/>
        </w:rPr>
        <w:t>el saldo de la cuenta es</w:t>
      </w:r>
      <w:r w:rsidRPr="00C06529">
        <w:rPr>
          <w:rFonts w:ascii="Cambria" w:hAnsi="Cambria" w:cs="Arial"/>
          <w:sz w:val="20"/>
          <w:szCs w:val="20"/>
        </w:rPr>
        <w:t xml:space="preserve"> por la cantidad de $</w:t>
      </w:r>
      <w:r>
        <w:rPr>
          <w:rFonts w:ascii="Cambria" w:hAnsi="Cambria" w:cs="Arial"/>
          <w:sz w:val="20"/>
          <w:szCs w:val="20"/>
        </w:rPr>
        <w:t>46</w:t>
      </w:r>
      <w:r w:rsidRPr="00C06529">
        <w:rPr>
          <w:rFonts w:ascii="Cambria" w:hAnsi="Cambria" w:cs="Arial"/>
          <w:sz w:val="20"/>
          <w:szCs w:val="20"/>
        </w:rPr>
        <w:t>,</w:t>
      </w:r>
      <w:r>
        <w:rPr>
          <w:rFonts w:ascii="Cambria" w:hAnsi="Cambria" w:cs="Arial"/>
          <w:sz w:val="20"/>
          <w:szCs w:val="20"/>
        </w:rPr>
        <w:t>000</w:t>
      </w:r>
      <w:r w:rsidRPr="00C06529">
        <w:rPr>
          <w:rFonts w:ascii="Cambria" w:hAnsi="Cambria" w:cs="Arial"/>
          <w:sz w:val="20"/>
          <w:szCs w:val="20"/>
        </w:rPr>
        <w:t xml:space="preserve"> pesos</w:t>
      </w:r>
    </w:p>
    <w:p w14:paraId="5E101FF6" w14:textId="77777777" w:rsidR="004F0A1B" w:rsidRDefault="004F0A1B" w:rsidP="00AF3835">
      <w:pPr>
        <w:pStyle w:val="ROMANOS"/>
        <w:spacing w:after="0" w:line="240" w:lineRule="auto"/>
        <w:rPr>
          <w:rFonts w:ascii="Cambria" w:hAnsi="Cambria" w:cs="DIN Pro Regular"/>
          <w:sz w:val="20"/>
          <w:szCs w:val="20"/>
          <w:lang w:val="es-MX"/>
        </w:rPr>
      </w:pPr>
    </w:p>
    <w:p w14:paraId="6315A034" w14:textId="77777777" w:rsidR="004B1EAA" w:rsidRDefault="004B1EAA" w:rsidP="00AF3835">
      <w:pPr>
        <w:pStyle w:val="ROMANOS"/>
        <w:spacing w:after="0" w:line="240" w:lineRule="auto"/>
        <w:rPr>
          <w:rFonts w:ascii="Cambria" w:hAnsi="Cambria" w:cs="DIN Pro Regular"/>
          <w:sz w:val="20"/>
          <w:szCs w:val="20"/>
          <w:lang w:val="es-MX"/>
        </w:rPr>
      </w:pPr>
    </w:p>
    <w:p w14:paraId="4D92792C" w14:textId="77777777" w:rsidR="00AF3835" w:rsidRPr="00E020BE" w:rsidRDefault="00AF3835" w:rsidP="00AF3835">
      <w:pPr>
        <w:pStyle w:val="ROMANOS"/>
        <w:spacing w:after="0" w:line="240" w:lineRule="auto"/>
        <w:rPr>
          <w:rFonts w:ascii="Cambria" w:hAnsi="Cambria" w:cs="DIN Pro Regular"/>
          <w:sz w:val="20"/>
          <w:szCs w:val="20"/>
          <w:lang w:val="es-MX"/>
        </w:rPr>
      </w:pPr>
    </w:p>
    <w:p w14:paraId="2BA70B84" w14:textId="77777777" w:rsidR="004F0A1B" w:rsidRPr="00E020BE" w:rsidRDefault="004F0A1B" w:rsidP="00AF3835">
      <w:pPr>
        <w:pStyle w:val="ROMANOS"/>
        <w:spacing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AF3835">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Default="00340C97" w:rsidP="00AF3835">
      <w:pPr>
        <w:spacing w:after="0" w:line="240" w:lineRule="auto"/>
        <w:ind w:left="708"/>
        <w:jc w:val="both"/>
        <w:rPr>
          <w:rFonts w:ascii="Cambria" w:hAnsi="Cambria" w:cs="DIN Pro Regular"/>
          <w:color w:val="000000"/>
          <w:sz w:val="20"/>
          <w:szCs w:val="20"/>
        </w:rPr>
      </w:pPr>
    </w:p>
    <w:p w14:paraId="6BEBA346" w14:textId="77777777" w:rsidR="00AF3835" w:rsidRDefault="00AF3835" w:rsidP="00AF3835">
      <w:pPr>
        <w:spacing w:after="0" w:line="240" w:lineRule="auto"/>
        <w:ind w:left="708"/>
        <w:jc w:val="both"/>
        <w:rPr>
          <w:rFonts w:ascii="Cambria" w:hAnsi="Cambria" w:cs="DIN Pro Regular"/>
          <w:color w:val="000000"/>
          <w:sz w:val="20"/>
          <w:szCs w:val="20"/>
        </w:rPr>
      </w:pPr>
    </w:p>
    <w:p w14:paraId="3F957C99" w14:textId="77777777" w:rsidR="00AF3835" w:rsidRPr="00E020BE" w:rsidRDefault="00AF3835"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3B2557B5" w:rsidR="004F0A1B" w:rsidRDefault="004F0A1B" w:rsidP="00AF3835">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B7195D">
        <w:rPr>
          <w:rFonts w:ascii="Cambria" w:hAnsi="Cambria" w:cs="DIN Pro Regular"/>
          <w:spacing w:val="-1"/>
          <w:sz w:val="20"/>
          <w:szCs w:val="20"/>
        </w:rPr>
        <w:t>31 de diciembre</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2023</w:t>
      </w:r>
      <w:r w:rsidRPr="00E020BE">
        <w:rPr>
          <w:rFonts w:ascii="Cambria" w:hAnsi="Cambria" w:cs="DIN Pro Regular"/>
          <w:spacing w:val="-1"/>
          <w:sz w:val="20"/>
          <w:szCs w:val="20"/>
        </w:rPr>
        <w:t>:</w:t>
      </w:r>
    </w:p>
    <w:p w14:paraId="52D23781" w14:textId="77777777" w:rsidR="00CC0399" w:rsidRDefault="00CC0399" w:rsidP="00AF3835">
      <w:pPr>
        <w:pStyle w:val="Default"/>
        <w:ind w:left="708"/>
        <w:jc w:val="both"/>
        <w:rPr>
          <w:rFonts w:ascii="Cambria" w:hAnsi="Cambria" w:cs="DIN Pro Regular"/>
          <w:spacing w:val="-1"/>
          <w:sz w:val="20"/>
          <w:szCs w:val="20"/>
        </w:rPr>
      </w:pPr>
    </w:p>
    <w:tbl>
      <w:tblPr>
        <w:tblW w:w="7050" w:type="dxa"/>
        <w:jc w:val="center"/>
        <w:tblCellMar>
          <w:left w:w="70" w:type="dxa"/>
          <w:right w:w="70" w:type="dxa"/>
        </w:tblCellMar>
        <w:tblLook w:val="04A0" w:firstRow="1" w:lastRow="0" w:firstColumn="1" w:lastColumn="0" w:noHBand="0" w:noVBand="1"/>
      </w:tblPr>
      <w:tblGrid>
        <w:gridCol w:w="2112"/>
        <w:gridCol w:w="1706"/>
        <w:gridCol w:w="1533"/>
        <w:gridCol w:w="1553"/>
        <w:gridCol w:w="146"/>
      </w:tblGrid>
      <w:tr w:rsidR="00493F54" w:rsidRPr="00493F54" w14:paraId="2A4A24C9" w14:textId="77777777" w:rsidTr="00493F54">
        <w:trPr>
          <w:gridAfter w:val="1"/>
          <w:wAfter w:w="146" w:type="dxa"/>
          <w:trHeight w:val="150"/>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00426A"/>
            <w:vAlign w:val="center"/>
            <w:hideMark/>
          </w:tcPr>
          <w:p w14:paraId="79552EDF"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CUENTA CONTABLE</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00426A"/>
            <w:vAlign w:val="center"/>
            <w:hideMark/>
          </w:tcPr>
          <w:p w14:paraId="53F421AA"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SALDO FINAL 31/12/2023</w:t>
            </w:r>
          </w:p>
        </w:tc>
        <w:tc>
          <w:tcPr>
            <w:tcW w:w="1533"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57BC4BF3"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 </w:t>
            </w:r>
          </w:p>
        </w:tc>
        <w:tc>
          <w:tcPr>
            <w:tcW w:w="1553"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6DBA9745"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 </w:t>
            </w:r>
          </w:p>
        </w:tc>
      </w:tr>
      <w:tr w:rsidR="00493F54" w:rsidRPr="00493F54" w14:paraId="2C23CAE0" w14:textId="77777777" w:rsidTr="00493F54">
        <w:trPr>
          <w:gridAfter w:val="1"/>
          <w:wAfter w:w="146" w:type="dxa"/>
          <w:trHeight w:val="585"/>
          <w:jc w:val="center"/>
        </w:trPr>
        <w:tc>
          <w:tcPr>
            <w:tcW w:w="2112" w:type="dxa"/>
            <w:vMerge/>
            <w:tcBorders>
              <w:top w:val="single" w:sz="4" w:space="0" w:color="auto"/>
              <w:left w:val="single" w:sz="4" w:space="0" w:color="auto"/>
              <w:bottom w:val="single" w:sz="4" w:space="0" w:color="auto"/>
              <w:right w:val="single" w:sz="4" w:space="0" w:color="auto"/>
            </w:tcBorders>
            <w:shd w:val="clear" w:color="auto" w:fill="00426A"/>
            <w:vAlign w:val="center"/>
            <w:hideMark/>
          </w:tcPr>
          <w:p w14:paraId="7971EA17" w14:textId="77777777" w:rsidR="00493F54" w:rsidRPr="00493F54" w:rsidRDefault="00493F54" w:rsidP="00493F54">
            <w:pPr>
              <w:spacing w:after="0" w:line="240" w:lineRule="auto"/>
              <w:rPr>
                <w:rFonts w:ascii="Cambria" w:eastAsia="Times New Roman" w:hAnsi="Cambria" w:cs="Arial"/>
                <w:b/>
                <w:bCs/>
                <w:color w:val="FFFFFF"/>
                <w:sz w:val="16"/>
                <w:szCs w:val="16"/>
                <w:lang w:eastAsia="es-MX"/>
              </w:rPr>
            </w:pPr>
          </w:p>
        </w:tc>
        <w:tc>
          <w:tcPr>
            <w:tcW w:w="1706" w:type="dxa"/>
            <w:vMerge/>
            <w:tcBorders>
              <w:top w:val="single" w:sz="4" w:space="0" w:color="auto"/>
              <w:left w:val="single" w:sz="4" w:space="0" w:color="auto"/>
              <w:bottom w:val="single" w:sz="4" w:space="0" w:color="auto"/>
              <w:right w:val="single" w:sz="4" w:space="0" w:color="auto"/>
            </w:tcBorders>
            <w:shd w:val="clear" w:color="auto" w:fill="00426A"/>
            <w:vAlign w:val="center"/>
            <w:hideMark/>
          </w:tcPr>
          <w:p w14:paraId="222E619A" w14:textId="77777777" w:rsidR="00493F54" w:rsidRPr="00493F54" w:rsidRDefault="00493F54" w:rsidP="00493F54">
            <w:pPr>
              <w:spacing w:after="0" w:line="240" w:lineRule="auto"/>
              <w:rPr>
                <w:rFonts w:ascii="Cambria" w:eastAsia="Times New Roman" w:hAnsi="Cambria" w:cs="Arial"/>
                <w:b/>
                <w:bCs/>
                <w:color w:val="FFFFFF"/>
                <w:sz w:val="16"/>
                <w:szCs w:val="16"/>
                <w:lang w:eastAsia="es-MX"/>
              </w:rPr>
            </w:pPr>
          </w:p>
        </w:tc>
        <w:tc>
          <w:tcPr>
            <w:tcW w:w="1533"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6863247D"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DEPRECIACION DEL EJERCICIO</w:t>
            </w:r>
          </w:p>
        </w:tc>
        <w:tc>
          <w:tcPr>
            <w:tcW w:w="1553"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3E7BBD8E" w14:textId="77777777" w:rsidR="00493F54" w:rsidRPr="00493F54" w:rsidRDefault="00493F54" w:rsidP="00493F54">
            <w:pPr>
              <w:spacing w:after="0" w:line="240" w:lineRule="auto"/>
              <w:jc w:val="center"/>
              <w:rPr>
                <w:rFonts w:ascii="Cambria" w:eastAsia="Times New Roman" w:hAnsi="Cambria" w:cs="Arial"/>
                <w:b/>
                <w:bCs/>
                <w:color w:val="FFFFFF"/>
                <w:sz w:val="16"/>
                <w:szCs w:val="16"/>
                <w:lang w:eastAsia="es-MX"/>
              </w:rPr>
            </w:pPr>
            <w:r w:rsidRPr="00493F54">
              <w:rPr>
                <w:rFonts w:ascii="Cambria" w:eastAsia="Times New Roman" w:hAnsi="Cambria" w:cs="Arial"/>
                <w:b/>
                <w:bCs/>
                <w:color w:val="FFFFFF"/>
                <w:sz w:val="16"/>
                <w:szCs w:val="16"/>
                <w:lang w:eastAsia="es-MX"/>
              </w:rPr>
              <w:t>DEPRECIACION ACUMULADA</w:t>
            </w:r>
          </w:p>
        </w:tc>
      </w:tr>
      <w:tr w:rsidR="00493F54" w:rsidRPr="00493F54" w14:paraId="66E8633E" w14:textId="77777777" w:rsidTr="00493F54">
        <w:trPr>
          <w:gridAfter w:val="1"/>
          <w:wAfter w:w="146" w:type="dxa"/>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C87E"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Terrenos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A70CD"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3,756,062,647</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63906"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658C5"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0</w:t>
            </w:r>
          </w:p>
        </w:tc>
      </w:tr>
      <w:tr w:rsidR="00493F54" w:rsidRPr="00493F54" w14:paraId="491642BE" w14:textId="77777777" w:rsidTr="00493F54">
        <w:trPr>
          <w:gridAfter w:val="1"/>
          <w:wAfter w:w="146" w:type="dxa"/>
          <w:trHeight w:val="273"/>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42E17"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Edificios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9301F"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2,991,855,411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81A8F"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18,051,328</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FBF30"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292,367,637</w:t>
            </w:r>
          </w:p>
        </w:tc>
      </w:tr>
      <w:tr w:rsidR="00493F54" w:rsidRPr="00493F54" w14:paraId="2B485818" w14:textId="77777777" w:rsidTr="00493F54">
        <w:trPr>
          <w:gridAfter w:val="1"/>
          <w:wAfter w:w="146" w:type="dxa"/>
          <w:trHeight w:val="419"/>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569A"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Construcciones en Proceso (Obra Pública)</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63B25"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21,316,235</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7D52F"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A1E46"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r>
      <w:tr w:rsidR="00493F54" w:rsidRPr="00493F54" w14:paraId="6528AA34" w14:textId="77777777" w:rsidTr="00493F54">
        <w:trPr>
          <w:gridAfter w:val="1"/>
          <w:wAfter w:w="146" w:type="dxa"/>
          <w:trHeight w:val="269"/>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6371"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Otros Bienes Muebles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BADE8"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B7E89"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24549"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r>
      <w:tr w:rsidR="00493F54" w:rsidRPr="00493F54" w14:paraId="73C3268C" w14:textId="77777777" w:rsidTr="00493F54">
        <w:trPr>
          <w:gridAfter w:val="1"/>
          <w:wAfter w:w="146" w:type="dxa"/>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4167EEE"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1.2.3 Bienes Inmuebles</w:t>
            </w:r>
          </w:p>
        </w:tc>
        <w:tc>
          <w:tcPr>
            <w:tcW w:w="1706"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E105BD5"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6,769,234,293</w:t>
            </w:r>
          </w:p>
        </w:tc>
        <w:tc>
          <w:tcPr>
            <w:tcW w:w="153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49FDF61"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18,051,328</w:t>
            </w:r>
          </w:p>
        </w:tc>
        <w:tc>
          <w:tcPr>
            <w:tcW w:w="155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44986BF"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292,367,637</w:t>
            </w:r>
          </w:p>
        </w:tc>
      </w:tr>
      <w:tr w:rsidR="00493F54" w:rsidRPr="00493F54" w14:paraId="564F7746" w14:textId="77777777" w:rsidTr="00493F54">
        <w:trPr>
          <w:gridAfter w:val="1"/>
          <w:wAfter w:w="146" w:type="dxa"/>
          <w:trHeight w:val="36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BF2C2"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Mobiliario y Equipo de Administración</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CE3A8"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429,529,361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5C14"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8,048,463</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74003"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288,702,378</w:t>
            </w:r>
          </w:p>
        </w:tc>
      </w:tr>
      <w:tr w:rsidR="00493F54" w:rsidRPr="00493F54" w14:paraId="2CD2AD61" w14:textId="77777777" w:rsidTr="00493F54">
        <w:trPr>
          <w:gridAfter w:val="1"/>
          <w:wAfter w:w="146" w:type="dxa"/>
          <w:trHeight w:val="411"/>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9D82"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Mobiliario y Equipo Educacional y Recreativo</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A5F57"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141,300,190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861A6"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3,933,094</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6FD5E"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84,819,953</w:t>
            </w:r>
          </w:p>
        </w:tc>
      </w:tr>
      <w:tr w:rsidR="00493F54" w:rsidRPr="00493F54" w14:paraId="48E6B5EE" w14:textId="77777777" w:rsidTr="00493F54">
        <w:trPr>
          <w:gridAfter w:val="1"/>
          <w:wAfter w:w="146" w:type="dxa"/>
          <w:trHeight w:val="417"/>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23EDB"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Equipo e Instrumental Médico y de Laboratorio</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20F28"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202,870,774</w:t>
            </w:r>
          </w:p>
        </w:tc>
        <w:tc>
          <w:tcPr>
            <w:tcW w:w="1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4C42D5"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8,252,110</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C9BEE"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148,797,951</w:t>
            </w:r>
          </w:p>
        </w:tc>
      </w:tr>
      <w:tr w:rsidR="00493F54" w:rsidRPr="00493F54" w14:paraId="0146FE39" w14:textId="77777777" w:rsidTr="00493F54">
        <w:trPr>
          <w:trHeight w:val="15"/>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55DE3557"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48B12831"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F5FB49E"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A102EB"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p>
        </w:tc>
        <w:tc>
          <w:tcPr>
            <w:tcW w:w="146" w:type="dxa"/>
            <w:tcBorders>
              <w:top w:val="nil"/>
              <w:left w:val="single" w:sz="4" w:space="0" w:color="auto"/>
              <w:bottom w:val="nil"/>
              <w:right w:val="nil"/>
            </w:tcBorders>
            <w:shd w:val="clear" w:color="auto" w:fill="auto"/>
            <w:noWrap/>
            <w:vAlign w:val="bottom"/>
            <w:hideMark/>
          </w:tcPr>
          <w:p w14:paraId="2CF9ABF7"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p>
        </w:tc>
      </w:tr>
      <w:tr w:rsidR="00493F54" w:rsidRPr="00493F54" w14:paraId="56DCECFD" w14:textId="77777777" w:rsidTr="00493F54">
        <w:trPr>
          <w:trHeight w:val="25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7BDE"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Equipo de Transporte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3BF1B"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240,450,491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72A6B"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-18,148,115</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2FE29"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187,237,496</w:t>
            </w:r>
          </w:p>
        </w:tc>
        <w:tc>
          <w:tcPr>
            <w:tcW w:w="146" w:type="dxa"/>
            <w:tcBorders>
              <w:left w:val="single" w:sz="4" w:space="0" w:color="auto"/>
            </w:tcBorders>
            <w:vAlign w:val="center"/>
            <w:hideMark/>
          </w:tcPr>
          <w:p w14:paraId="42CD3E54"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17B633D4" w14:textId="77777777" w:rsidTr="00493F54">
        <w:trPr>
          <w:trHeight w:val="412"/>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82E5"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Maquinaria, Otros Equipos y Herramientas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674FD"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373,840,524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2FA08"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23,938,593</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EE2DE"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184,739,837</w:t>
            </w:r>
          </w:p>
        </w:tc>
        <w:tc>
          <w:tcPr>
            <w:tcW w:w="146" w:type="dxa"/>
            <w:tcBorders>
              <w:left w:val="single" w:sz="4" w:space="0" w:color="auto"/>
            </w:tcBorders>
            <w:vAlign w:val="center"/>
            <w:hideMark/>
          </w:tcPr>
          <w:p w14:paraId="3FC22FF2"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5AD2616D" w14:textId="77777777" w:rsidTr="00493F54">
        <w:trPr>
          <w:trHeight w:val="26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087C"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Activos Biológicos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546ED"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2,892,380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ECFAE"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24164"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27,893</w:t>
            </w:r>
          </w:p>
        </w:tc>
        <w:tc>
          <w:tcPr>
            <w:tcW w:w="146" w:type="dxa"/>
            <w:tcBorders>
              <w:left w:val="single" w:sz="4" w:space="0" w:color="auto"/>
            </w:tcBorders>
            <w:vAlign w:val="center"/>
            <w:hideMark/>
          </w:tcPr>
          <w:p w14:paraId="59638AD8"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7F7C58A1" w14:textId="77777777" w:rsidTr="00BA6A03">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3F06E16"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1.2.4 Bienes Muebles</w:t>
            </w:r>
          </w:p>
        </w:tc>
        <w:tc>
          <w:tcPr>
            <w:tcW w:w="1706"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9BC1384"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1,390,883,720</w:t>
            </w:r>
          </w:p>
        </w:tc>
        <w:tc>
          <w:tcPr>
            <w:tcW w:w="153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F457A68"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26,024,146</w:t>
            </w:r>
          </w:p>
        </w:tc>
        <w:tc>
          <w:tcPr>
            <w:tcW w:w="155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775BE40"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894,325,508</w:t>
            </w:r>
          </w:p>
        </w:tc>
        <w:tc>
          <w:tcPr>
            <w:tcW w:w="146" w:type="dxa"/>
            <w:tcBorders>
              <w:left w:val="single" w:sz="4" w:space="0" w:color="auto"/>
            </w:tcBorders>
            <w:shd w:val="clear" w:color="auto" w:fill="auto"/>
            <w:vAlign w:val="center"/>
            <w:hideMark/>
          </w:tcPr>
          <w:p w14:paraId="3B106841"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1D02431D" w14:textId="77777777" w:rsidTr="00493F54">
        <w:trPr>
          <w:trHeight w:val="24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02B8"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Software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C0D36"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16,201,029</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8537"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A7C74"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17B53015"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68495FBA" w14:textId="77777777" w:rsidTr="00493F54">
        <w:trPr>
          <w:trHeight w:val="261"/>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6CD3"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Patentes, Marcas y Derechos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CCAD1"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36,088</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DB0FC"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B6D17"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3FD4F860"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62179E95" w14:textId="77777777" w:rsidTr="00493F54">
        <w:trPr>
          <w:trHeight w:val="29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4F24"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Licencias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AF97B"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13,425,246</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1E8FA"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3C46B"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46" w:type="dxa"/>
            <w:tcBorders>
              <w:left w:val="single" w:sz="4" w:space="0" w:color="auto"/>
            </w:tcBorders>
            <w:vAlign w:val="center"/>
            <w:hideMark/>
          </w:tcPr>
          <w:p w14:paraId="6193119D"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4FDF054E" w14:textId="77777777" w:rsidTr="00BA6A03">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F2B9F35" w14:textId="77777777" w:rsidR="00493F54" w:rsidRPr="00493F54" w:rsidRDefault="00493F54" w:rsidP="00493F54">
            <w:pPr>
              <w:spacing w:after="0" w:line="240" w:lineRule="auto"/>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1.2.5 Activos Intangibles</w:t>
            </w:r>
          </w:p>
        </w:tc>
        <w:tc>
          <w:tcPr>
            <w:tcW w:w="1706"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7878F5F"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29,662,363</w:t>
            </w:r>
          </w:p>
        </w:tc>
        <w:tc>
          <w:tcPr>
            <w:tcW w:w="153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693DE30"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1BFDDDC" w14:textId="77777777" w:rsidR="00493F54" w:rsidRPr="00493F54" w:rsidRDefault="00493F54" w:rsidP="00493F54">
            <w:pPr>
              <w:spacing w:after="0" w:line="240" w:lineRule="auto"/>
              <w:jc w:val="right"/>
              <w:rPr>
                <w:rFonts w:ascii="Cambria" w:eastAsia="Times New Roman" w:hAnsi="Cambria" w:cs="Arial"/>
                <w:color w:val="000000"/>
                <w:sz w:val="16"/>
                <w:szCs w:val="16"/>
                <w:lang w:eastAsia="es-MX"/>
              </w:rPr>
            </w:pPr>
            <w:r w:rsidRPr="00493F54">
              <w:rPr>
                <w:rFonts w:ascii="Cambria" w:eastAsia="Times New Roman" w:hAnsi="Cambria" w:cs="Arial"/>
                <w:color w:val="000000"/>
                <w:sz w:val="16"/>
                <w:szCs w:val="16"/>
                <w:lang w:eastAsia="es-MX"/>
              </w:rPr>
              <w:t>0</w:t>
            </w:r>
          </w:p>
        </w:tc>
        <w:tc>
          <w:tcPr>
            <w:tcW w:w="146" w:type="dxa"/>
            <w:tcBorders>
              <w:left w:val="single" w:sz="4" w:space="0" w:color="auto"/>
            </w:tcBorders>
            <w:shd w:val="clear" w:color="auto" w:fill="auto"/>
            <w:vAlign w:val="center"/>
            <w:hideMark/>
          </w:tcPr>
          <w:p w14:paraId="58AF15AA" w14:textId="77777777" w:rsidR="00493F54" w:rsidRPr="00493F54" w:rsidRDefault="00493F54" w:rsidP="00493F54">
            <w:pPr>
              <w:spacing w:after="0" w:line="240" w:lineRule="auto"/>
              <w:rPr>
                <w:rFonts w:ascii="Cambria" w:eastAsia="Times New Roman" w:hAnsi="Cambria"/>
                <w:sz w:val="16"/>
                <w:szCs w:val="16"/>
                <w:lang w:eastAsia="es-MX"/>
              </w:rPr>
            </w:pPr>
          </w:p>
        </w:tc>
      </w:tr>
      <w:tr w:rsidR="00493F54" w:rsidRPr="00493F54" w14:paraId="2B5DAD73" w14:textId="77777777" w:rsidTr="00493F54">
        <w:trPr>
          <w:trHeight w:val="210"/>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D16CF"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DD91"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$8,189,780,376</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0B966"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$44,075,474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60F7" w14:textId="77777777" w:rsidR="00493F54" w:rsidRPr="00493F54" w:rsidRDefault="00493F54" w:rsidP="00493F54">
            <w:pPr>
              <w:spacing w:after="0" w:line="240" w:lineRule="auto"/>
              <w:jc w:val="right"/>
              <w:rPr>
                <w:rFonts w:ascii="Cambria" w:eastAsia="Times New Roman" w:hAnsi="Cambria" w:cs="Arial"/>
                <w:sz w:val="16"/>
                <w:szCs w:val="16"/>
                <w:lang w:eastAsia="es-MX"/>
              </w:rPr>
            </w:pPr>
            <w:r w:rsidRPr="00493F54">
              <w:rPr>
                <w:rFonts w:ascii="Cambria" w:eastAsia="Times New Roman" w:hAnsi="Cambria" w:cs="Arial"/>
                <w:sz w:val="16"/>
                <w:szCs w:val="16"/>
                <w:lang w:eastAsia="es-MX"/>
              </w:rPr>
              <w:t>$1,186,693,145</w:t>
            </w:r>
          </w:p>
        </w:tc>
        <w:tc>
          <w:tcPr>
            <w:tcW w:w="146" w:type="dxa"/>
            <w:tcBorders>
              <w:left w:val="single" w:sz="4" w:space="0" w:color="auto"/>
            </w:tcBorders>
            <w:shd w:val="clear" w:color="auto" w:fill="auto"/>
            <w:vAlign w:val="center"/>
            <w:hideMark/>
          </w:tcPr>
          <w:p w14:paraId="14F58E38" w14:textId="77777777" w:rsidR="00493F54" w:rsidRPr="00493F54" w:rsidRDefault="00493F54" w:rsidP="00493F54">
            <w:pPr>
              <w:spacing w:after="0" w:line="240" w:lineRule="auto"/>
              <w:rPr>
                <w:rFonts w:ascii="Cambria" w:eastAsia="Times New Roman" w:hAnsi="Cambria"/>
                <w:sz w:val="16"/>
                <w:szCs w:val="16"/>
                <w:lang w:eastAsia="es-MX"/>
              </w:rPr>
            </w:pPr>
          </w:p>
        </w:tc>
      </w:tr>
    </w:tbl>
    <w:p w14:paraId="1D6D45B3" w14:textId="77777777" w:rsidR="00493F54" w:rsidRDefault="00493F54" w:rsidP="00AF3835">
      <w:pPr>
        <w:pStyle w:val="Default"/>
        <w:ind w:left="708"/>
        <w:jc w:val="both"/>
        <w:rPr>
          <w:rFonts w:ascii="Cambria" w:hAnsi="Cambria" w:cs="DIN Pro Regular"/>
          <w:spacing w:val="-1"/>
          <w:sz w:val="20"/>
          <w:szCs w:val="20"/>
        </w:rPr>
      </w:pPr>
    </w:p>
    <w:p w14:paraId="1901F731" w14:textId="77777777" w:rsidR="00493F54" w:rsidRDefault="00493F54" w:rsidP="00AF3835">
      <w:pPr>
        <w:pStyle w:val="Default"/>
        <w:ind w:left="708"/>
        <w:jc w:val="both"/>
        <w:rPr>
          <w:rFonts w:ascii="Cambria" w:hAnsi="Cambria" w:cs="DIN Pro Regular"/>
          <w:spacing w:val="-1"/>
          <w:sz w:val="20"/>
          <w:szCs w:val="20"/>
        </w:rPr>
      </w:pPr>
    </w:p>
    <w:p w14:paraId="292E2244" w14:textId="234BB102"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lastRenderedPageBreak/>
        <w:t xml:space="preserve">El valor de adquisición de los bienes muebles e inmuebles de la Universidad Autónoma de Tamaulipas se dividen en dos grupos el primero lo compone los bienes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Default="004F0A1B" w:rsidP="004F0A1B">
      <w:pPr>
        <w:pStyle w:val="ROMANOS"/>
        <w:spacing w:after="0" w:line="240" w:lineRule="exact"/>
        <w:rPr>
          <w:rFonts w:ascii="Cambria" w:hAnsi="Cambria" w:cs="DIN Pro Regular"/>
          <w:sz w:val="20"/>
          <w:szCs w:val="20"/>
          <w:lang w:val="es-MX"/>
        </w:rPr>
      </w:pPr>
    </w:p>
    <w:p w14:paraId="39A4DDCF" w14:textId="77777777" w:rsidR="00834657" w:rsidRDefault="00834657" w:rsidP="004F0A1B">
      <w:pPr>
        <w:pStyle w:val="ROMANOS"/>
        <w:spacing w:after="0" w:line="240" w:lineRule="exact"/>
        <w:rPr>
          <w:rFonts w:ascii="Cambria" w:hAnsi="Cambria" w:cs="DIN Pro Regular"/>
          <w:sz w:val="20"/>
          <w:szCs w:val="20"/>
          <w:lang w:val="es-MX"/>
        </w:rPr>
      </w:pPr>
    </w:p>
    <w:p w14:paraId="76B586F0" w14:textId="77777777" w:rsidR="00FB37A5" w:rsidRDefault="00FB37A5" w:rsidP="004F0A1B">
      <w:pPr>
        <w:pStyle w:val="ROMANOS"/>
        <w:spacing w:after="0" w:line="240" w:lineRule="exact"/>
        <w:rPr>
          <w:rFonts w:ascii="Cambria" w:hAnsi="Cambria" w:cs="DIN Pro Regular"/>
          <w:sz w:val="20"/>
          <w:szCs w:val="20"/>
          <w:lang w:val="es-MX"/>
        </w:rPr>
      </w:pPr>
    </w:p>
    <w:p w14:paraId="148ABCA8" w14:textId="77777777" w:rsidR="00AF3835" w:rsidRPr="00E020BE" w:rsidRDefault="00AF3835"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40D94EA4" w14:textId="77777777" w:rsidR="007B77BA" w:rsidRDefault="007B77BA" w:rsidP="004F0A1B">
      <w:pPr>
        <w:pStyle w:val="ROMANOS"/>
        <w:spacing w:after="0" w:line="240" w:lineRule="exact"/>
        <w:ind w:left="432"/>
        <w:rPr>
          <w:rFonts w:ascii="Cambria" w:eastAsia="Calibri" w:hAnsi="Cambria" w:cs="DIN Pro Regular"/>
          <w:spacing w:val="-1"/>
          <w:sz w:val="20"/>
          <w:szCs w:val="20"/>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2"/>
        <w:gridCol w:w="1582"/>
      </w:tblGrid>
      <w:tr w:rsidR="007B77BA" w:rsidRPr="007B77BA" w14:paraId="020B9D48" w14:textId="77777777" w:rsidTr="007B77BA">
        <w:trPr>
          <w:trHeight w:val="315"/>
          <w:jc w:val="center"/>
        </w:trPr>
        <w:tc>
          <w:tcPr>
            <w:tcW w:w="3942" w:type="dxa"/>
            <w:shd w:val="clear" w:color="000000" w:fill="00426A"/>
            <w:noWrap/>
            <w:vAlign w:val="center"/>
            <w:hideMark/>
          </w:tcPr>
          <w:p w14:paraId="22FEB948" w14:textId="77777777" w:rsidR="007B77BA" w:rsidRPr="007B77BA" w:rsidRDefault="007B77BA" w:rsidP="007B77BA">
            <w:pPr>
              <w:spacing w:after="0" w:line="240" w:lineRule="auto"/>
              <w:jc w:val="center"/>
              <w:rPr>
                <w:rFonts w:ascii="Cambria" w:eastAsia="Times New Roman" w:hAnsi="Cambria" w:cs="Calibri"/>
                <w:b/>
                <w:bCs/>
                <w:color w:val="FFFFFF"/>
                <w:sz w:val="16"/>
                <w:szCs w:val="16"/>
                <w:lang w:eastAsia="es-MX"/>
              </w:rPr>
            </w:pPr>
            <w:r w:rsidRPr="007B77BA">
              <w:rPr>
                <w:rFonts w:ascii="Cambria" w:eastAsia="Times New Roman" w:hAnsi="Cambria" w:cs="Calibri"/>
                <w:b/>
                <w:bCs/>
                <w:color w:val="FFFFFF"/>
                <w:sz w:val="16"/>
                <w:szCs w:val="16"/>
                <w:lang w:eastAsia="es-MX"/>
              </w:rPr>
              <w:t>CUENTA</w:t>
            </w:r>
          </w:p>
        </w:tc>
        <w:tc>
          <w:tcPr>
            <w:tcW w:w="1582" w:type="dxa"/>
            <w:shd w:val="clear" w:color="000000" w:fill="00426A"/>
            <w:noWrap/>
            <w:vAlign w:val="center"/>
            <w:hideMark/>
          </w:tcPr>
          <w:p w14:paraId="2116C837" w14:textId="77777777" w:rsidR="007B77BA" w:rsidRPr="007B77BA" w:rsidRDefault="007B77BA" w:rsidP="007B77BA">
            <w:pPr>
              <w:spacing w:after="0" w:line="240" w:lineRule="auto"/>
              <w:jc w:val="center"/>
              <w:rPr>
                <w:rFonts w:ascii="Cambria" w:eastAsia="Times New Roman" w:hAnsi="Cambria" w:cs="Calibri"/>
                <w:b/>
                <w:bCs/>
                <w:color w:val="FFFFFF"/>
                <w:sz w:val="16"/>
                <w:szCs w:val="16"/>
                <w:lang w:eastAsia="es-MX"/>
              </w:rPr>
            </w:pPr>
            <w:r w:rsidRPr="007B77BA">
              <w:rPr>
                <w:rFonts w:ascii="Cambria" w:eastAsia="Times New Roman" w:hAnsi="Cambria" w:cs="Calibri"/>
                <w:b/>
                <w:bCs/>
                <w:color w:val="FFFFFF"/>
                <w:sz w:val="16"/>
                <w:szCs w:val="16"/>
                <w:lang w:eastAsia="es-MX"/>
              </w:rPr>
              <w:t>SALDO</w:t>
            </w:r>
          </w:p>
        </w:tc>
      </w:tr>
      <w:tr w:rsidR="007B77BA" w:rsidRPr="007B77BA" w14:paraId="3B138ACC" w14:textId="77777777" w:rsidTr="007B77BA">
        <w:trPr>
          <w:trHeight w:val="315"/>
          <w:jc w:val="center"/>
        </w:trPr>
        <w:tc>
          <w:tcPr>
            <w:tcW w:w="3942" w:type="dxa"/>
            <w:shd w:val="clear" w:color="auto" w:fill="auto"/>
            <w:noWrap/>
            <w:vAlign w:val="center"/>
            <w:hideMark/>
          </w:tcPr>
          <w:p w14:paraId="2D280A56" w14:textId="77777777" w:rsidR="007B77BA" w:rsidRPr="007B77BA" w:rsidRDefault="007B77BA" w:rsidP="007B77BA">
            <w:pPr>
              <w:spacing w:after="0" w:line="240" w:lineRule="auto"/>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Proveedores por pagar a corto plazo</w:t>
            </w:r>
          </w:p>
        </w:tc>
        <w:tc>
          <w:tcPr>
            <w:tcW w:w="1582" w:type="dxa"/>
            <w:shd w:val="clear" w:color="auto" w:fill="auto"/>
            <w:noWrap/>
            <w:vAlign w:val="center"/>
            <w:hideMark/>
          </w:tcPr>
          <w:p w14:paraId="742142FB"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4,649,035</w:t>
            </w:r>
          </w:p>
        </w:tc>
      </w:tr>
      <w:tr w:rsidR="007B77BA" w:rsidRPr="007B77BA" w14:paraId="6F92CA04" w14:textId="77777777" w:rsidTr="007B77BA">
        <w:trPr>
          <w:trHeight w:val="315"/>
          <w:jc w:val="center"/>
        </w:trPr>
        <w:tc>
          <w:tcPr>
            <w:tcW w:w="3942" w:type="dxa"/>
            <w:shd w:val="clear" w:color="auto" w:fill="auto"/>
            <w:noWrap/>
            <w:vAlign w:val="center"/>
            <w:hideMark/>
          </w:tcPr>
          <w:p w14:paraId="4CE07579" w14:textId="77777777" w:rsidR="007B77BA" w:rsidRPr="007B77BA" w:rsidRDefault="007B77BA" w:rsidP="007B77BA">
            <w:pPr>
              <w:spacing w:after="0" w:line="240" w:lineRule="auto"/>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Retenciones y contribuciones por pagar a corto plazo</w:t>
            </w:r>
          </w:p>
        </w:tc>
        <w:tc>
          <w:tcPr>
            <w:tcW w:w="1582" w:type="dxa"/>
            <w:shd w:val="clear" w:color="auto" w:fill="auto"/>
            <w:noWrap/>
            <w:vAlign w:val="center"/>
            <w:hideMark/>
          </w:tcPr>
          <w:p w14:paraId="5A0792AD"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172,675,753</w:t>
            </w:r>
          </w:p>
        </w:tc>
      </w:tr>
      <w:tr w:rsidR="007B77BA" w:rsidRPr="007B77BA" w14:paraId="529FCCF0" w14:textId="77777777" w:rsidTr="007B77BA">
        <w:trPr>
          <w:trHeight w:val="315"/>
          <w:jc w:val="center"/>
        </w:trPr>
        <w:tc>
          <w:tcPr>
            <w:tcW w:w="3942" w:type="dxa"/>
            <w:shd w:val="clear" w:color="auto" w:fill="auto"/>
            <w:noWrap/>
            <w:vAlign w:val="center"/>
            <w:hideMark/>
          </w:tcPr>
          <w:p w14:paraId="6D5CED1E" w14:textId="77777777" w:rsidR="007B77BA" w:rsidRPr="007B77BA" w:rsidRDefault="007B77BA" w:rsidP="007B77BA">
            <w:pPr>
              <w:spacing w:after="0" w:line="240" w:lineRule="auto"/>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Otras cuentas por pagar a corto plazo</w:t>
            </w:r>
          </w:p>
        </w:tc>
        <w:tc>
          <w:tcPr>
            <w:tcW w:w="1582" w:type="dxa"/>
            <w:shd w:val="clear" w:color="auto" w:fill="auto"/>
            <w:noWrap/>
            <w:vAlign w:val="center"/>
            <w:hideMark/>
          </w:tcPr>
          <w:p w14:paraId="210186DF"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71,245</w:t>
            </w:r>
          </w:p>
        </w:tc>
      </w:tr>
      <w:tr w:rsidR="007B77BA" w:rsidRPr="007B77BA" w14:paraId="4F011161" w14:textId="77777777" w:rsidTr="007B77BA">
        <w:trPr>
          <w:trHeight w:val="315"/>
          <w:jc w:val="center"/>
        </w:trPr>
        <w:tc>
          <w:tcPr>
            <w:tcW w:w="3942" w:type="dxa"/>
            <w:shd w:val="clear" w:color="auto" w:fill="auto"/>
            <w:noWrap/>
            <w:vAlign w:val="center"/>
            <w:hideMark/>
          </w:tcPr>
          <w:p w14:paraId="0DF597F7" w14:textId="77777777" w:rsidR="007B77BA" w:rsidRPr="007B77BA" w:rsidRDefault="007B77BA" w:rsidP="007B77BA">
            <w:pPr>
              <w:spacing w:after="0" w:line="240" w:lineRule="auto"/>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Fondos en administración a corto plazo</w:t>
            </w:r>
          </w:p>
        </w:tc>
        <w:tc>
          <w:tcPr>
            <w:tcW w:w="1582" w:type="dxa"/>
            <w:shd w:val="clear" w:color="auto" w:fill="auto"/>
            <w:noWrap/>
            <w:vAlign w:val="center"/>
            <w:hideMark/>
          </w:tcPr>
          <w:p w14:paraId="21D3A22B"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490</w:t>
            </w:r>
          </w:p>
        </w:tc>
      </w:tr>
      <w:tr w:rsidR="007B77BA" w:rsidRPr="007B77BA" w14:paraId="3AD530A4" w14:textId="77777777" w:rsidTr="007B77BA">
        <w:trPr>
          <w:trHeight w:val="315"/>
          <w:jc w:val="center"/>
        </w:trPr>
        <w:tc>
          <w:tcPr>
            <w:tcW w:w="3942" w:type="dxa"/>
            <w:shd w:val="clear" w:color="auto" w:fill="auto"/>
            <w:noWrap/>
            <w:vAlign w:val="center"/>
            <w:hideMark/>
          </w:tcPr>
          <w:p w14:paraId="77049432" w14:textId="77777777" w:rsidR="007B77BA" w:rsidRPr="007B77BA" w:rsidRDefault="007B77BA" w:rsidP="007B77BA">
            <w:pPr>
              <w:spacing w:after="0" w:line="240" w:lineRule="auto"/>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Provisión para contingencias a largo plazo</w:t>
            </w:r>
          </w:p>
        </w:tc>
        <w:tc>
          <w:tcPr>
            <w:tcW w:w="1582" w:type="dxa"/>
            <w:shd w:val="clear" w:color="auto" w:fill="auto"/>
            <w:noWrap/>
            <w:vAlign w:val="center"/>
            <w:hideMark/>
          </w:tcPr>
          <w:p w14:paraId="05B639D4"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2,409,480</w:t>
            </w:r>
          </w:p>
        </w:tc>
      </w:tr>
      <w:tr w:rsidR="007B77BA" w:rsidRPr="007B77BA" w14:paraId="7940B793" w14:textId="77777777" w:rsidTr="007B77BA">
        <w:trPr>
          <w:trHeight w:val="315"/>
          <w:jc w:val="center"/>
        </w:trPr>
        <w:tc>
          <w:tcPr>
            <w:tcW w:w="3942" w:type="dxa"/>
            <w:shd w:val="clear" w:color="000000" w:fill="FFFFFF"/>
            <w:noWrap/>
            <w:vAlign w:val="center"/>
            <w:hideMark/>
          </w:tcPr>
          <w:p w14:paraId="1FB7C704"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TOTAL</w:t>
            </w:r>
          </w:p>
        </w:tc>
        <w:tc>
          <w:tcPr>
            <w:tcW w:w="1582" w:type="dxa"/>
            <w:shd w:val="clear" w:color="000000" w:fill="FFFFFF"/>
            <w:noWrap/>
            <w:vAlign w:val="center"/>
            <w:hideMark/>
          </w:tcPr>
          <w:p w14:paraId="685AAA36" w14:textId="77777777" w:rsidR="007B77BA" w:rsidRPr="007B77BA" w:rsidRDefault="007B77BA" w:rsidP="007B77BA">
            <w:pPr>
              <w:spacing w:after="0" w:line="240" w:lineRule="auto"/>
              <w:jc w:val="right"/>
              <w:rPr>
                <w:rFonts w:ascii="Cambria" w:eastAsia="Times New Roman" w:hAnsi="Cambria" w:cs="Calibri"/>
                <w:color w:val="000000"/>
                <w:sz w:val="16"/>
                <w:szCs w:val="16"/>
                <w:lang w:eastAsia="es-MX"/>
              </w:rPr>
            </w:pPr>
            <w:r w:rsidRPr="007B77BA">
              <w:rPr>
                <w:rFonts w:ascii="Cambria" w:eastAsia="Times New Roman" w:hAnsi="Cambria" w:cs="Calibri"/>
                <w:color w:val="000000"/>
                <w:sz w:val="16"/>
                <w:szCs w:val="16"/>
                <w:lang w:eastAsia="es-MX"/>
              </w:rPr>
              <w:t>$179,806,003</w:t>
            </w:r>
          </w:p>
        </w:tc>
      </w:tr>
    </w:tbl>
    <w:p w14:paraId="5FC5C778"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p w14:paraId="3B8A0CD0"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5975F880" w14:textId="1A386B65"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 de</w:t>
      </w:r>
      <w:r w:rsidR="00C427EB" w:rsidRPr="00E020BE">
        <w:rPr>
          <w:rFonts w:ascii="Cambria" w:hAnsi="Cambria" w:cs="DIN Pro Regular"/>
          <w:sz w:val="20"/>
          <w:szCs w:val="20"/>
        </w:rPr>
        <w:t xml:space="preserve"> </w:t>
      </w:r>
      <w:r w:rsidR="00C427EB" w:rsidRPr="00C06529">
        <w:rPr>
          <w:rFonts w:ascii="Cambria" w:hAnsi="Cambria" w:cs="Arial"/>
          <w:sz w:val="20"/>
          <w:szCs w:val="20"/>
        </w:rPr>
        <w:t>retenciones de ISR por Salarios, I.S.R. retenido por honorarios asimilables a salario</w:t>
      </w:r>
      <w:r w:rsidR="00C427EB">
        <w:rPr>
          <w:rFonts w:ascii="Cambria" w:hAnsi="Cambria" w:cs="Arial"/>
          <w:sz w:val="20"/>
          <w:szCs w:val="20"/>
        </w:rPr>
        <w:t>,</w:t>
      </w:r>
      <w:r w:rsidR="00C427EB" w:rsidRPr="00C06529">
        <w:rPr>
          <w:rFonts w:ascii="Cambria" w:hAnsi="Cambria" w:cs="Arial"/>
          <w:sz w:val="20"/>
          <w:szCs w:val="20"/>
        </w:rPr>
        <w:t xml:space="preserve"> honorarios profesionales</w:t>
      </w:r>
      <w:r w:rsidR="00C427EB" w:rsidRPr="00F0186E">
        <w:rPr>
          <w:rFonts w:ascii="Cambria" w:hAnsi="Cambria" w:cs="DIN Pro Regular"/>
          <w:sz w:val="20"/>
          <w:szCs w:val="20"/>
        </w:rPr>
        <w:t xml:space="preserve">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C427EB">
        <w:rPr>
          <w:rFonts w:ascii="Cambria" w:hAnsi="Cambria" w:cs="DIN Pro Regular"/>
          <w:sz w:val="20"/>
          <w:szCs w:val="20"/>
        </w:rPr>
        <w:t>RESICO</w:t>
      </w:r>
      <w:r w:rsidR="00C427EB" w:rsidRPr="00C06529">
        <w:rPr>
          <w:rFonts w:ascii="Cambria" w:hAnsi="Cambria" w:cs="Arial"/>
          <w:sz w:val="20"/>
          <w:szCs w:val="20"/>
        </w:rPr>
        <w:t>, contribuciones obrero-patronales por concepto de Seguro Social, INFONAVIT, AFORE, seguro de vivienda</w:t>
      </w:r>
      <w:r w:rsidR="00C427EB">
        <w:rPr>
          <w:rFonts w:ascii="Cambria" w:hAnsi="Cambria" w:cs="Arial"/>
          <w:sz w:val="20"/>
          <w:szCs w:val="20"/>
        </w:rPr>
        <w:t>, 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64C66FB2" w14:textId="004C6C66" w:rsidR="00C427EB" w:rsidRPr="00C427EB" w:rsidRDefault="004F0A1B" w:rsidP="00C427E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00C427EB">
        <w:rPr>
          <w:rFonts w:ascii="Cambria" w:eastAsia="Times New Roman" w:hAnsi="Cambria" w:cs="DIN Pro Regular"/>
          <w:sz w:val="20"/>
          <w:szCs w:val="20"/>
          <w:lang w:eastAsia="es-MX"/>
        </w:rPr>
        <w:t xml:space="preserve"> </w:t>
      </w:r>
      <w:r w:rsidRPr="00E020BE">
        <w:rPr>
          <w:rFonts w:ascii="Cambria" w:hAnsi="Cambria" w:cs="DIN Pro Regular"/>
          <w:sz w:val="20"/>
          <w:szCs w:val="20"/>
        </w:rPr>
        <w:t xml:space="preserve"> </w:t>
      </w:r>
      <w:r w:rsidR="00C427EB" w:rsidRPr="00C427EB">
        <w:rPr>
          <w:rFonts w:ascii="Cambria" w:hAnsi="Cambria" w:cs="DIN Pro Regular"/>
          <w:bCs/>
          <w:sz w:val="20"/>
          <w:szCs w:val="20"/>
        </w:rPr>
        <w:t>Representa el saldo del posible pago de obligaciones laborales en litigio ante el juzgado primero de primera instancia de lo civil y juzgado de primera instancia de lo familiar del segundo distrito judicial del estado, cuya recuperación es impredecible en el tiempo por estar sujeta a los tribunales competentes su resolución por un importe de $66,624 pesos, así como</w:t>
      </w:r>
      <w:r w:rsidR="00C427EB" w:rsidRPr="00C427EB">
        <w:rPr>
          <w:rFonts w:ascii="Cambria" w:hAnsi="Cambria" w:cs="DIN Pro Regular"/>
          <w:sz w:val="20"/>
          <w:szCs w:val="20"/>
        </w:rPr>
        <w:t xml:space="preserve"> el importe de $4,621 pesos de las operaciones efectuadas con proveedores para cubrir gastos menores</w:t>
      </w:r>
      <w:r w:rsidR="00C427EB">
        <w:rPr>
          <w:rFonts w:ascii="Cambria" w:hAnsi="Cambria" w:cs="DIN Pro Regular"/>
          <w:sz w:val="20"/>
          <w:szCs w:val="20"/>
        </w:rPr>
        <w:t>.</w:t>
      </w:r>
    </w:p>
    <w:p w14:paraId="72D92E5A" w14:textId="2BB7F707" w:rsidR="004F0A1B" w:rsidRPr="00E020BE" w:rsidRDefault="004F0A1B" w:rsidP="00561F07">
      <w:pPr>
        <w:spacing w:line="240" w:lineRule="auto"/>
        <w:ind w:left="1789"/>
        <w:jc w:val="both"/>
        <w:rPr>
          <w:rFonts w:ascii="Cambria" w:hAnsi="Cambria" w:cs="DIN Pro Regular"/>
          <w:sz w:val="20"/>
          <w:szCs w:val="20"/>
        </w:rPr>
      </w:pPr>
    </w:p>
    <w:p w14:paraId="10D423D7" w14:textId="1AE2F39F"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lastRenderedPageBreak/>
        <w:t>Fondos en administración a corto plazo: Representa los recursos recibidos para llevar a cabo el pago de las operaciones derivadas del Programa Escuelas al CIEN</w:t>
      </w:r>
      <w:r w:rsidR="00561F07">
        <w:rPr>
          <w:rFonts w:ascii="Cambria" w:hAnsi="Cambria" w:cs="DIN Pro Regular"/>
          <w:sz w:val="20"/>
        </w:rPr>
        <w:t xml:space="preserve"> (2 al millar)</w:t>
      </w:r>
      <w:r w:rsidRPr="00E020BE">
        <w:rPr>
          <w:rFonts w:ascii="Cambria" w:hAnsi="Cambria" w:cs="DIN Pro Regular"/>
          <w:sz w:val="20"/>
        </w:rPr>
        <w:t>.</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3E30BD22" w:rsidR="004F0A1B" w:rsidRPr="000D028B" w:rsidRDefault="004F0A1B" w:rsidP="004F0A1B">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w:t>
      </w:r>
      <w:r w:rsidR="00B74834" w:rsidRPr="000D028B">
        <w:rPr>
          <w:rFonts w:ascii="Cambria" w:hAnsi="Cambria" w:cs="DIN Pro Regular"/>
          <w:sz w:val="20"/>
          <w:lang w:val="es-MX"/>
        </w:rPr>
        <w:t>préstamos</w:t>
      </w:r>
      <w:r w:rsidR="000D028B" w:rsidRPr="000D028B">
        <w:rPr>
          <w:rFonts w:ascii="Cambria" w:hAnsi="Cambria" w:cs="DIN Pro Regular"/>
          <w:sz w:val="20"/>
          <w:lang w:val="es-MX"/>
        </w:rPr>
        <w:t xml:space="preserve">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w:t>
      </w:r>
      <w:bookmarkStart w:id="1" w:name="_Hlk155380933"/>
      <w:r w:rsidR="000D028B" w:rsidRPr="000D028B">
        <w:rPr>
          <w:rFonts w:ascii="Cambria" w:hAnsi="Cambria" w:cs="DIN Pro Regular"/>
          <w:sz w:val="20"/>
          <w:lang w:val="es-MX"/>
        </w:rPr>
        <w:t>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bookmarkEnd w:id="1"/>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Default="004F0A1B" w:rsidP="00FC149D">
      <w:pPr>
        <w:pStyle w:val="INCISO"/>
        <w:spacing w:after="0" w:line="240" w:lineRule="exact"/>
        <w:ind w:left="0" w:firstLine="0"/>
        <w:rPr>
          <w:rFonts w:ascii="Cambria" w:hAnsi="Cambria" w:cs="DIN Pro Regular"/>
          <w:b/>
          <w:smallCaps/>
          <w:sz w:val="20"/>
          <w:szCs w:val="20"/>
        </w:rPr>
      </w:pPr>
    </w:p>
    <w:p w14:paraId="015FD888"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5AA7B105"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7F6E1DD4"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195DE426"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4EFB4319"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C9576F">
        <w:rPr>
          <w:rFonts w:ascii="Cambria" w:hAnsi="Cambria" w:cs="DIN Pro Regular"/>
          <w:spacing w:val="-1"/>
          <w:sz w:val="20"/>
          <w:szCs w:val="20"/>
          <w:lang w:eastAsia="es-MX"/>
        </w:rPr>
        <w:t>68</w:t>
      </w:r>
      <w:r w:rsidRPr="00E020BE">
        <w:rPr>
          <w:rFonts w:ascii="Cambria" w:hAnsi="Cambria" w:cs="DIN Pro Regular"/>
          <w:spacing w:val="-1"/>
          <w:sz w:val="20"/>
          <w:szCs w:val="20"/>
          <w:lang w:eastAsia="es-MX"/>
        </w:rPr>
        <w:t>,</w:t>
      </w:r>
      <w:r w:rsidR="00C9576F">
        <w:rPr>
          <w:rFonts w:ascii="Cambria" w:hAnsi="Cambria" w:cs="DIN Pro Regular"/>
          <w:spacing w:val="-1"/>
          <w:sz w:val="20"/>
          <w:szCs w:val="20"/>
          <w:lang w:eastAsia="es-MX"/>
        </w:rPr>
        <w:t>631</w:t>
      </w:r>
      <w:r w:rsidRPr="00E020BE">
        <w:rPr>
          <w:rFonts w:ascii="Cambria" w:hAnsi="Cambria" w:cs="DIN Pro Regular"/>
          <w:spacing w:val="-1"/>
          <w:sz w:val="20"/>
          <w:szCs w:val="20"/>
          <w:lang w:eastAsia="es-MX"/>
        </w:rPr>
        <w:t>,</w:t>
      </w:r>
      <w:r w:rsidR="00C9576F">
        <w:rPr>
          <w:rFonts w:ascii="Cambria" w:hAnsi="Cambria" w:cs="DIN Pro Regular"/>
          <w:spacing w:val="-1"/>
          <w:sz w:val="20"/>
          <w:szCs w:val="20"/>
          <w:lang w:eastAsia="es-MX"/>
        </w:rPr>
        <w:t>859</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2C3AD6">
        <w:rPr>
          <w:rFonts w:ascii="Cambria" w:hAnsi="Cambria" w:cs="DIN Pro Regular"/>
          <w:spacing w:val="-1"/>
          <w:sz w:val="20"/>
          <w:szCs w:val="20"/>
          <w:lang w:eastAsia="es-MX"/>
        </w:rPr>
        <w:t>2</w:t>
      </w:r>
      <w:r w:rsidR="00AF05E8" w:rsidRPr="00AF05E8">
        <w:rPr>
          <w:rFonts w:ascii="Cambria" w:eastAsia="Times New Roman" w:hAnsi="Cambria" w:cs="DIN Pro Regular"/>
          <w:bCs/>
          <w:iCs/>
          <w:sz w:val="20"/>
          <w:szCs w:val="20"/>
          <w:lang w:eastAsia="es-ES"/>
        </w:rPr>
        <w:t xml:space="preserve"> </w:t>
      </w:r>
      <w:r w:rsidR="00AF05E8">
        <w:rPr>
          <w:rFonts w:ascii="Cambria" w:eastAsia="Times New Roman" w:hAnsi="Cambria" w:cs="DIN Pro Regular"/>
          <w:bCs/>
          <w:iCs/>
          <w:sz w:val="20"/>
          <w:szCs w:val="20"/>
          <w:lang w:eastAsia="es-ES"/>
        </w:rPr>
        <w:t>de la a</w:t>
      </w:r>
      <w:r w:rsidR="00AF05E8" w:rsidRPr="00E020BE">
        <w:rPr>
          <w:rFonts w:ascii="Cambria" w:eastAsia="Times New Roman" w:hAnsi="Cambria" w:cs="DIN Pro Regular"/>
          <w:bCs/>
          <w:iCs/>
          <w:sz w:val="20"/>
          <w:szCs w:val="20"/>
          <w:lang w:eastAsia="es-ES"/>
        </w:rPr>
        <w:t xml:space="preserve">ctualización de </w:t>
      </w:r>
      <w:r w:rsidR="00AF05E8">
        <w:rPr>
          <w:rFonts w:ascii="Cambria" w:eastAsia="Times New Roman" w:hAnsi="Cambria" w:cs="DIN Pro Regular"/>
          <w:bCs/>
          <w:iCs/>
          <w:sz w:val="20"/>
          <w:szCs w:val="20"/>
          <w:lang w:eastAsia="es-ES"/>
        </w:rPr>
        <w:t>h</w:t>
      </w:r>
      <w:r w:rsidR="00AF05E8" w:rsidRPr="00E020BE">
        <w:rPr>
          <w:rFonts w:ascii="Cambria" w:eastAsia="Times New Roman" w:hAnsi="Cambria" w:cs="DIN Pro Regular"/>
          <w:bCs/>
          <w:iCs/>
          <w:sz w:val="20"/>
          <w:szCs w:val="20"/>
          <w:lang w:eastAsia="es-ES"/>
        </w:rPr>
        <w:t xml:space="preserve">acienda </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ública/</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atrimonio</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79FE46EB"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C9576F">
        <w:rPr>
          <w:rFonts w:ascii="Cambria" w:hAnsi="Cambria" w:cs="DIN Pro Regular"/>
          <w:spacing w:val="-1"/>
          <w:sz w:val="20"/>
          <w:szCs w:val="20"/>
          <w:lang w:eastAsia="es-MX"/>
        </w:rPr>
        <w:t>140</w:t>
      </w:r>
      <w:r w:rsidRPr="00E020BE">
        <w:rPr>
          <w:rFonts w:ascii="Cambria" w:hAnsi="Cambria" w:cs="DIN Pro Regular"/>
          <w:spacing w:val="-1"/>
          <w:sz w:val="20"/>
          <w:szCs w:val="20"/>
          <w:lang w:eastAsia="es-MX"/>
        </w:rPr>
        <w:t>,</w:t>
      </w:r>
      <w:r w:rsidR="004309BE">
        <w:rPr>
          <w:rFonts w:ascii="Cambria" w:hAnsi="Cambria" w:cs="DIN Pro Regular"/>
          <w:spacing w:val="-1"/>
          <w:sz w:val="20"/>
          <w:szCs w:val="20"/>
          <w:lang w:eastAsia="es-MX"/>
        </w:rPr>
        <w:t>918</w:t>
      </w:r>
      <w:r w:rsidRPr="00E020BE">
        <w:rPr>
          <w:rFonts w:ascii="Cambria" w:hAnsi="Cambria" w:cs="DIN Pro Regular"/>
          <w:spacing w:val="-1"/>
          <w:sz w:val="20"/>
          <w:szCs w:val="20"/>
          <w:lang w:eastAsia="es-MX"/>
        </w:rPr>
        <w:t>,</w:t>
      </w:r>
      <w:r w:rsidR="004309BE">
        <w:rPr>
          <w:rFonts w:ascii="Cambria" w:hAnsi="Cambria" w:cs="DIN Pro Regular"/>
          <w:spacing w:val="-1"/>
          <w:sz w:val="20"/>
          <w:szCs w:val="20"/>
          <w:lang w:eastAsia="es-MX"/>
        </w:rPr>
        <w:t>9</w:t>
      </w:r>
      <w:r w:rsidR="00C9576F">
        <w:rPr>
          <w:rFonts w:ascii="Cambria" w:hAnsi="Cambria" w:cs="DIN Pro Regular"/>
          <w:spacing w:val="-1"/>
          <w:sz w:val="20"/>
          <w:szCs w:val="20"/>
          <w:lang w:eastAsia="es-MX"/>
        </w:rPr>
        <w:t>01</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062276C5"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2"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C9576F">
        <w:rPr>
          <w:rFonts w:ascii="Cambria" w:hAnsi="Cambria" w:cs="DIN Pro Regular"/>
          <w:spacing w:val="-1"/>
          <w:sz w:val="20"/>
          <w:szCs w:val="20"/>
          <w:lang w:eastAsia="es-MX"/>
        </w:rPr>
        <w:t>23</w:t>
      </w:r>
      <w:r w:rsidR="00831463" w:rsidRPr="00E020BE">
        <w:rPr>
          <w:rFonts w:ascii="Cambria" w:hAnsi="Cambria" w:cs="DIN Pro Regular"/>
          <w:spacing w:val="-1"/>
          <w:sz w:val="20"/>
          <w:szCs w:val="20"/>
          <w:lang w:eastAsia="es-MX"/>
        </w:rPr>
        <w:t>,</w:t>
      </w:r>
      <w:r w:rsidR="00C9576F">
        <w:rPr>
          <w:rFonts w:ascii="Cambria" w:hAnsi="Cambria" w:cs="DIN Pro Regular"/>
          <w:spacing w:val="-1"/>
          <w:sz w:val="20"/>
          <w:szCs w:val="20"/>
          <w:lang w:eastAsia="es-MX"/>
        </w:rPr>
        <w:t>621</w:t>
      </w:r>
      <w:r w:rsidR="00831463" w:rsidRPr="00E020BE">
        <w:rPr>
          <w:rFonts w:ascii="Cambria" w:hAnsi="Cambria" w:cs="DIN Pro Regular"/>
          <w:spacing w:val="-1"/>
          <w:sz w:val="20"/>
          <w:szCs w:val="20"/>
          <w:lang w:eastAsia="es-MX"/>
        </w:rPr>
        <w:t>,</w:t>
      </w:r>
      <w:r w:rsidR="00C9576F">
        <w:rPr>
          <w:rFonts w:ascii="Cambria" w:hAnsi="Cambria" w:cs="DIN Pro Regular"/>
          <w:spacing w:val="-1"/>
          <w:sz w:val="20"/>
          <w:szCs w:val="20"/>
          <w:lang w:eastAsia="es-MX"/>
        </w:rPr>
        <w:t>183</w:t>
      </w:r>
      <w:r w:rsidRPr="00E020BE">
        <w:rPr>
          <w:rFonts w:ascii="Cambria" w:hAnsi="Cambria" w:cs="DIN Pro Regular"/>
          <w:spacing w:val="-1"/>
          <w:sz w:val="20"/>
          <w:szCs w:val="20"/>
          <w:lang w:eastAsia="es-MX"/>
        </w:rPr>
        <w:t xml:space="preserve"> pesos.</w:t>
      </w:r>
    </w:p>
    <w:bookmarkEnd w:id="2"/>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0F7250C6"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C9576F">
        <w:rPr>
          <w:rFonts w:ascii="Cambria" w:hAnsi="Cambria" w:cs="DIN Pro Regular"/>
          <w:spacing w:val="-1"/>
          <w:sz w:val="20"/>
          <w:szCs w:val="20"/>
          <w:lang w:eastAsia="es-MX"/>
        </w:rPr>
        <w:t>11</w:t>
      </w:r>
      <w:r w:rsidR="00E927C1">
        <w:rPr>
          <w:rFonts w:ascii="Cambria" w:hAnsi="Cambria" w:cs="DIN Pro Regular"/>
          <w:spacing w:val="-1"/>
          <w:sz w:val="20"/>
          <w:szCs w:val="20"/>
          <w:lang w:eastAsia="es-MX"/>
        </w:rPr>
        <w:t>,</w:t>
      </w:r>
      <w:r w:rsidR="00C9576F">
        <w:rPr>
          <w:rFonts w:ascii="Cambria" w:hAnsi="Cambria" w:cs="DIN Pro Regular"/>
          <w:spacing w:val="-1"/>
          <w:sz w:val="20"/>
          <w:szCs w:val="20"/>
          <w:lang w:eastAsia="es-MX"/>
        </w:rPr>
        <w:t>430</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44E80B39"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sidR="002C3AD6">
        <w:rPr>
          <w:rFonts w:ascii="Cambria" w:hAnsi="Cambria" w:cs="DIN Pro Regular"/>
          <w:spacing w:val="-1"/>
          <w:sz w:val="20"/>
          <w:szCs w:val="20"/>
          <w:lang w:eastAsia="es-MX"/>
        </w:rPr>
        <w:t>982</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282465F3" w14:textId="77777777" w:rsidR="00C76F2C" w:rsidRDefault="00C76F2C" w:rsidP="004F0A1B">
      <w:pPr>
        <w:pStyle w:val="ROMANOS"/>
        <w:shd w:val="clear" w:color="auto" w:fill="FFFFFF"/>
        <w:spacing w:after="0" w:line="240" w:lineRule="exact"/>
        <w:ind w:left="0" w:firstLine="0"/>
        <w:rPr>
          <w:rFonts w:ascii="Cambria" w:hAnsi="Cambria" w:cs="DIN Pro Regular"/>
          <w:sz w:val="20"/>
          <w:szCs w:val="20"/>
          <w:lang w:val="es-MX"/>
        </w:rPr>
      </w:pPr>
    </w:p>
    <w:p w14:paraId="0F4BF83F" w14:textId="77777777" w:rsidR="00041F74" w:rsidRDefault="00041F74" w:rsidP="004F0A1B">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CC0399"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3732A1C9" w14:textId="77777777" w:rsidR="00CC0399" w:rsidRPr="00CC0399" w:rsidRDefault="00CC0399" w:rsidP="00CC0399">
      <w:pPr>
        <w:pStyle w:val="ROMANOS"/>
        <w:spacing w:after="0" w:line="240" w:lineRule="exact"/>
        <w:ind w:left="1068" w:firstLine="0"/>
        <w:rPr>
          <w:rFonts w:ascii="Cambria" w:hAnsi="Cambria" w:cs="DIN Pro Regular"/>
          <w:b/>
          <w:sz w:val="20"/>
          <w:szCs w:val="20"/>
          <w:lang w:val="es-MX"/>
        </w:rPr>
      </w:pPr>
    </w:p>
    <w:tbl>
      <w:tblPr>
        <w:tblW w:w="6797" w:type="dxa"/>
        <w:tblInd w:w="1271" w:type="dxa"/>
        <w:tblCellMar>
          <w:left w:w="70" w:type="dxa"/>
          <w:right w:w="70" w:type="dxa"/>
        </w:tblCellMar>
        <w:tblLook w:val="04A0" w:firstRow="1" w:lastRow="0" w:firstColumn="1" w:lastColumn="0" w:noHBand="0" w:noVBand="1"/>
      </w:tblPr>
      <w:tblGrid>
        <w:gridCol w:w="3260"/>
        <w:gridCol w:w="1868"/>
        <w:gridCol w:w="1669"/>
      </w:tblGrid>
      <w:tr w:rsidR="00E0390E" w:rsidRPr="00CC0399" w14:paraId="6544E224" w14:textId="77777777" w:rsidTr="00692F18">
        <w:trPr>
          <w:trHeight w:val="367"/>
        </w:trPr>
        <w:tc>
          <w:tcPr>
            <w:tcW w:w="6797" w:type="dxa"/>
            <w:gridSpan w:val="3"/>
            <w:tcBorders>
              <w:top w:val="single" w:sz="4" w:space="0" w:color="auto"/>
              <w:left w:val="single" w:sz="4" w:space="0" w:color="auto"/>
              <w:bottom w:val="single" w:sz="4" w:space="0" w:color="auto"/>
              <w:right w:val="single" w:sz="4" w:space="0" w:color="auto"/>
            </w:tcBorders>
            <w:shd w:val="clear" w:color="auto" w:fill="00426A"/>
            <w:noWrap/>
            <w:vAlign w:val="center"/>
          </w:tcPr>
          <w:p w14:paraId="5E8667B1" w14:textId="7AFF7B9E" w:rsidR="00E0390E" w:rsidRPr="00CC0399" w:rsidRDefault="00E0390E" w:rsidP="00CC0399">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EFECTIVO Y EQUIVALENTES</w:t>
            </w:r>
          </w:p>
        </w:tc>
      </w:tr>
      <w:tr w:rsidR="00E0390E" w:rsidRPr="00CC0399" w14:paraId="4AB11089" w14:textId="77777777" w:rsidTr="005E5089">
        <w:trPr>
          <w:trHeight w:val="367"/>
        </w:trPr>
        <w:tc>
          <w:tcPr>
            <w:tcW w:w="3260" w:type="dxa"/>
            <w:tcBorders>
              <w:top w:val="single" w:sz="4" w:space="0" w:color="auto"/>
              <w:left w:val="single" w:sz="4" w:space="0" w:color="auto"/>
              <w:bottom w:val="single" w:sz="4" w:space="0" w:color="auto"/>
              <w:right w:val="single" w:sz="4" w:space="0" w:color="auto"/>
            </w:tcBorders>
            <w:shd w:val="clear" w:color="auto" w:fill="00426A"/>
            <w:noWrap/>
            <w:vAlign w:val="center"/>
          </w:tcPr>
          <w:p w14:paraId="207E2566" w14:textId="47661F67" w:rsidR="00E0390E" w:rsidRPr="00CC0399" w:rsidRDefault="00E0390E" w:rsidP="00E0390E">
            <w:pPr>
              <w:spacing w:after="0" w:line="240" w:lineRule="auto"/>
              <w:jc w:val="center"/>
              <w:rPr>
                <w:rFonts w:ascii="Cambria" w:eastAsia="Times New Roman" w:hAnsi="Cambria" w:cs="Calibri"/>
                <w:b/>
                <w:bCs/>
                <w:color w:val="FFFFFF"/>
                <w:sz w:val="16"/>
                <w:szCs w:val="16"/>
                <w:lang w:eastAsia="es-MX"/>
              </w:rPr>
            </w:pPr>
            <w:r w:rsidRPr="00CC0399">
              <w:rPr>
                <w:rFonts w:ascii="Cambria" w:eastAsia="Times New Roman" w:hAnsi="Cambria" w:cs="Calibri"/>
                <w:b/>
                <w:bCs/>
                <w:color w:val="FFFFFF"/>
                <w:sz w:val="16"/>
                <w:szCs w:val="16"/>
                <w:lang w:eastAsia="es-MX"/>
              </w:rPr>
              <w:t>RUBRO</w:t>
            </w:r>
          </w:p>
        </w:tc>
        <w:tc>
          <w:tcPr>
            <w:tcW w:w="1868" w:type="dxa"/>
            <w:tcBorders>
              <w:top w:val="single" w:sz="4" w:space="0" w:color="auto"/>
              <w:left w:val="nil"/>
              <w:bottom w:val="single" w:sz="4" w:space="0" w:color="auto"/>
              <w:right w:val="single" w:sz="4" w:space="0" w:color="auto"/>
            </w:tcBorders>
            <w:shd w:val="clear" w:color="auto" w:fill="00426A"/>
            <w:vAlign w:val="center"/>
          </w:tcPr>
          <w:p w14:paraId="226D7B52" w14:textId="30C2E51D" w:rsidR="00E0390E" w:rsidRDefault="00BB570D"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w:t>
            </w:r>
            <w:r w:rsidR="00E0390E">
              <w:rPr>
                <w:rFonts w:ascii="Cambria" w:eastAsia="Times New Roman" w:hAnsi="Cambria" w:cs="Calibri"/>
                <w:b/>
                <w:bCs/>
                <w:color w:val="FFFFFF"/>
                <w:sz w:val="16"/>
                <w:szCs w:val="16"/>
                <w:lang w:eastAsia="es-MX"/>
              </w:rPr>
              <w:t xml:space="preserve"> 20</w:t>
            </w:r>
            <w:r w:rsidR="00E0390E" w:rsidRPr="00CC0399">
              <w:rPr>
                <w:rFonts w:ascii="Cambria" w:eastAsia="Times New Roman" w:hAnsi="Cambria" w:cs="Calibri"/>
                <w:b/>
                <w:bCs/>
                <w:color w:val="FFFFFF"/>
                <w:sz w:val="16"/>
                <w:szCs w:val="16"/>
                <w:lang w:eastAsia="es-MX"/>
              </w:rPr>
              <w:t>23</w:t>
            </w:r>
          </w:p>
        </w:tc>
        <w:tc>
          <w:tcPr>
            <w:tcW w:w="1669" w:type="dxa"/>
            <w:tcBorders>
              <w:top w:val="single" w:sz="4" w:space="0" w:color="auto"/>
              <w:left w:val="nil"/>
              <w:bottom w:val="single" w:sz="4" w:space="0" w:color="auto"/>
              <w:right w:val="single" w:sz="4" w:space="0" w:color="auto"/>
            </w:tcBorders>
            <w:shd w:val="clear" w:color="auto" w:fill="00426A"/>
            <w:vAlign w:val="center"/>
          </w:tcPr>
          <w:p w14:paraId="5D20B448" w14:textId="3E21BC2E"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 20</w:t>
            </w:r>
            <w:r w:rsidRPr="00CC0399">
              <w:rPr>
                <w:rFonts w:ascii="Cambria" w:eastAsia="Times New Roman" w:hAnsi="Cambria" w:cs="Calibri"/>
                <w:b/>
                <w:bCs/>
                <w:color w:val="FFFFFF"/>
                <w:sz w:val="16"/>
                <w:szCs w:val="16"/>
                <w:lang w:eastAsia="es-MX"/>
              </w:rPr>
              <w:t>22</w:t>
            </w:r>
          </w:p>
        </w:tc>
      </w:tr>
      <w:tr w:rsidR="00E0390E" w:rsidRPr="00CC0399" w14:paraId="3D37D865"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A47983" w14:textId="77777777"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Efectivo   </w:t>
            </w:r>
          </w:p>
        </w:tc>
        <w:tc>
          <w:tcPr>
            <w:tcW w:w="1868" w:type="dxa"/>
            <w:tcBorders>
              <w:top w:val="nil"/>
              <w:left w:val="nil"/>
              <w:bottom w:val="single" w:sz="4" w:space="0" w:color="auto"/>
              <w:right w:val="single" w:sz="4" w:space="0" w:color="auto"/>
            </w:tcBorders>
            <w:shd w:val="clear" w:color="auto" w:fill="auto"/>
            <w:noWrap/>
            <w:vAlign w:val="bottom"/>
            <w:hideMark/>
          </w:tcPr>
          <w:p w14:paraId="26D668CA" w14:textId="4DF61A56" w:rsidR="00E0390E" w:rsidRPr="00CC0399" w:rsidRDefault="00BB570D" w:rsidP="00E0390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E0390E" w:rsidRPr="00CC0399">
              <w:rPr>
                <w:rFonts w:ascii="Cambria" w:eastAsia="Times New Roman" w:hAnsi="Cambria" w:cs="Calibri"/>
                <w:color w:val="000000"/>
                <w:sz w:val="16"/>
                <w:szCs w:val="16"/>
                <w:lang w:eastAsia="es-MX"/>
              </w:rPr>
              <w:t xml:space="preserve"> </w:t>
            </w:r>
          </w:p>
        </w:tc>
        <w:tc>
          <w:tcPr>
            <w:tcW w:w="1669" w:type="dxa"/>
            <w:tcBorders>
              <w:top w:val="nil"/>
              <w:left w:val="nil"/>
              <w:bottom w:val="single" w:sz="4" w:space="0" w:color="auto"/>
              <w:right w:val="single" w:sz="4" w:space="0" w:color="auto"/>
            </w:tcBorders>
            <w:shd w:val="clear" w:color="auto" w:fill="auto"/>
            <w:noWrap/>
            <w:vAlign w:val="bottom"/>
            <w:hideMark/>
          </w:tcPr>
          <w:p w14:paraId="0A7ECAD4" w14:textId="44DF40E3"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146CFD">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38FED33C"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756912" w14:textId="6BF432D4"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Bancos-Tesorería</w:t>
            </w:r>
          </w:p>
        </w:tc>
        <w:tc>
          <w:tcPr>
            <w:tcW w:w="1868" w:type="dxa"/>
            <w:tcBorders>
              <w:top w:val="nil"/>
              <w:left w:val="nil"/>
              <w:bottom w:val="single" w:sz="4" w:space="0" w:color="auto"/>
              <w:right w:val="single" w:sz="4" w:space="0" w:color="auto"/>
            </w:tcBorders>
            <w:shd w:val="clear" w:color="auto" w:fill="auto"/>
            <w:noWrap/>
            <w:vAlign w:val="bottom"/>
            <w:hideMark/>
          </w:tcPr>
          <w:p w14:paraId="0D4C8ADE" w14:textId="48C28F71" w:rsidR="00E0390E" w:rsidRPr="00CC0399" w:rsidRDefault="00BB570D"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334</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821</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898</w:t>
            </w:r>
          </w:p>
        </w:tc>
        <w:tc>
          <w:tcPr>
            <w:tcW w:w="1669" w:type="dxa"/>
            <w:tcBorders>
              <w:top w:val="nil"/>
              <w:left w:val="nil"/>
              <w:bottom w:val="single" w:sz="4" w:space="0" w:color="auto"/>
              <w:right w:val="single" w:sz="4" w:space="0" w:color="auto"/>
            </w:tcBorders>
            <w:shd w:val="clear" w:color="auto" w:fill="auto"/>
            <w:noWrap/>
            <w:vAlign w:val="bottom"/>
            <w:hideMark/>
          </w:tcPr>
          <w:p w14:paraId="4C782A62"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341,830,382</w:t>
            </w:r>
          </w:p>
        </w:tc>
      </w:tr>
      <w:tr w:rsidR="00E0390E" w:rsidRPr="00CC0399" w14:paraId="1C2A5B54" w14:textId="77777777" w:rsidTr="002655C8">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FA7246"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Bancos-Dependencias</w:t>
            </w:r>
          </w:p>
        </w:tc>
        <w:tc>
          <w:tcPr>
            <w:tcW w:w="1868" w:type="dxa"/>
            <w:tcBorders>
              <w:top w:val="nil"/>
              <w:left w:val="nil"/>
              <w:bottom w:val="single" w:sz="4" w:space="0" w:color="auto"/>
              <w:right w:val="single" w:sz="4" w:space="0" w:color="auto"/>
            </w:tcBorders>
            <w:shd w:val="clear" w:color="auto" w:fill="auto"/>
            <w:noWrap/>
            <w:vAlign w:val="bottom"/>
            <w:hideMark/>
          </w:tcPr>
          <w:p w14:paraId="7CFEBA39" w14:textId="0025E1DE" w:rsidR="00E0390E" w:rsidRPr="00CC0399" w:rsidRDefault="00BB570D"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c>
          <w:tcPr>
            <w:tcW w:w="1669" w:type="dxa"/>
            <w:tcBorders>
              <w:top w:val="nil"/>
              <w:left w:val="nil"/>
              <w:bottom w:val="single" w:sz="4" w:space="0" w:color="auto"/>
              <w:right w:val="single" w:sz="4" w:space="0" w:color="auto"/>
            </w:tcBorders>
            <w:shd w:val="clear" w:color="auto" w:fill="auto"/>
            <w:noWrap/>
            <w:vAlign w:val="bottom"/>
            <w:hideMark/>
          </w:tcPr>
          <w:p w14:paraId="533B11E5"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0</w:t>
            </w:r>
          </w:p>
        </w:tc>
      </w:tr>
      <w:tr w:rsidR="00E0390E" w:rsidRPr="00CC0399" w14:paraId="10F66978" w14:textId="77777777" w:rsidTr="002655C8">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76E4"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lastRenderedPageBreak/>
              <w:t>Inversiones Temporales (Hasta 3 Meses)</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0023C659" w14:textId="1F1F6F95" w:rsidR="00E0390E" w:rsidRPr="00CC0399" w:rsidRDefault="00BB570D"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4</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575</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668</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77CFCAD"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27,643,749</w:t>
            </w:r>
          </w:p>
        </w:tc>
      </w:tr>
      <w:tr w:rsidR="00E0390E" w:rsidRPr="00CC0399" w14:paraId="030B85D1"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7193B7" w14:textId="77A26B8E"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Fondos de Afectación Especifica</w:t>
            </w:r>
          </w:p>
        </w:tc>
        <w:tc>
          <w:tcPr>
            <w:tcW w:w="1868" w:type="dxa"/>
            <w:tcBorders>
              <w:top w:val="nil"/>
              <w:left w:val="nil"/>
              <w:bottom w:val="single" w:sz="4" w:space="0" w:color="auto"/>
              <w:right w:val="single" w:sz="4" w:space="0" w:color="auto"/>
            </w:tcBorders>
            <w:shd w:val="clear" w:color="auto" w:fill="auto"/>
            <w:noWrap/>
            <w:vAlign w:val="bottom"/>
            <w:hideMark/>
          </w:tcPr>
          <w:p w14:paraId="6A3CBB54" w14:textId="0579A227" w:rsidR="00E0390E" w:rsidRPr="00CC0399" w:rsidRDefault="00BB570D"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14</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138</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412</w:t>
            </w:r>
          </w:p>
        </w:tc>
        <w:tc>
          <w:tcPr>
            <w:tcW w:w="1669" w:type="dxa"/>
            <w:tcBorders>
              <w:top w:val="nil"/>
              <w:left w:val="nil"/>
              <w:bottom w:val="single" w:sz="4" w:space="0" w:color="auto"/>
              <w:right w:val="single" w:sz="4" w:space="0" w:color="auto"/>
            </w:tcBorders>
            <w:shd w:val="clear" w:color="auto" w:fill="auto"/>
            <w:noWrap/>
            <w:vAlign w:val="bottom"/>
            <w:hideMark/>
          </w:tcPr>
          <w:p w14:paraId="36EB7C47"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31,724,469</w:t>
            </w:r>
          </w:p>
        </w:tc>
      </w:tr>
      <w:tr w:rsidR="00E0390E" w:rsidRPr="00CC0399" w14:paraId="27CA4A4E"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C19441E" w14:textId="4876C46C" w:rsidR="00E0390E" w:rsidRPr="00CC0399" w:rsidRDefault="00B35846" w:rsidP="00E0390E">
            <w:pPr>
              <w:spacing w:after="0" w:line="240" w:lineRule="auto"/>
              <w:rPr>
                <w:rFonts w:ascii="Cambria" w:eastAsia="Times New Roman" w:hAnsi="Cambria" w:cs="Calibri"/>
                <w:sz w:val="16"/>
                <w:szCs w:val="16"/>
                <w:lang w:eastAsia="es-MX"/>
              </w:rPr>
            </w:pPr>
            <w:r w:rsidRPr="00B35846">
              <w:rPr>
                <w:rFonts w:ascii="Cambria" w:eastAsia="Times New Roman" w:hAnsi="Cambria" w:cs="Calibri"/>
                <w:sz w:val="16"/>
                <w:szCs w:val="16"/>
                <w:lang w:eastAsia="es-MX"/>
              </w:rPr>
              <w:t>Depósitos de Fondos de Terceros en Garantía y/o Administración</w:t>
            </w:r>
          </w:p>
        </w:tc>
        <w:tc>
          <w:tcPr>
            <w:tcW w:w="1868" w:type="dxa"/>
            <w:tcBorders>
              <w:top w:val="nil"/>
              <w:left w:val="nil"/>
              <w:bottom w:val="single" w:sz="4" w:space="0" w:color="auto"/>
              <w:right w:val="single" w:sz="4" w:space="0" w:color="auto"/>
            </w:tcBorders>
            <w:shd w:val="clear" w:color="auto" w:fill="auto"/>
            <w:noWrap/>
            <w:vAlign w:val="bottom"/>
            <w:hideMark/>
          </w:tcPr>
          <w:p w14:paraId="20571EA6" w14:textId="25FD9AE1" w:rsidR="00E0390E" w:rsidRPr="00CC0399" w:rsidRDefault="00BB570D"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c>
          <w:tcPr>
            <w:tcW w:w="1669" w:type="dxa"/>
            <w:tcBorders>
              <w:top w:val="nil"/>
              <w:left w:val="nil"/>
              <w:bottom w:val="single" w:sz="4" w:space="0" w:color="auto"/>
              <w:right w:val="single" w:sz="4" w:space="0" w:color="auto"/>
            </w:tcBorders>
            <w:shd w:val="clear" w:color="auto" w:fill="auto"/>
            <w:noWrap/>
            <w:vAlign w:val="bottom"/>
            <w:hideMark/>
          </w:tcPr>
          <w:p w14:paraId="493F9880" w14:textId="379B7639" w:rsidR="00E0390E" w:rsidRPr="00CC0399" w:rsidRDefault="00B35846"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r>
      <w:tr w:rsidR="006319E8" w:rsidRPr="00CC0399" w14:paraId="1503E217"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tcPr>
          <w:p w14:paraId="27939D46" w14:textId="5C0D4712" w:rsidR="006319E8" w:rsidRPr="00B35846" w:rsidRDefault="006319E8" w:rsidP="00E0390E">
            <w:pPr>
              <w:spacing w:after="0" w:line="240" w:lineRule="auto"/>
              <w:rPr>
                <w:rFonts w:ascii="Cambria" w:eastAsia="Times New Roman" w:hAnsi="Cambria" w:cs="Calibri"/>
                <w:sz w:val="16"/>
                <w:szCs w:val="16"/>
                <w:lang w:eastAsia="es-MX"/>
              </w:rPr>
            </w:pPr>
            <w:r w:rsidRPr="006319E8">
              <w:rPr>
                <w:rFonts w:ascii="Cambria" w:eastAsia="Times New Roman" w:hAnsi="Cambria" w:cs="Calibri"/>
                <w:sz w:val="16"/>
                <w:szCs w:val="16"/>
                <w:lang w:eastAsia="es-MX"/>
              </w:rPr>
              <w:t>Otros Efectivos y Equivalentes</w:t>
            </w:r>
          </w:p>
        </w:tc>
        <w:tc>
          <w:tcPr>
            <w:tcW w:w="1868" w:type="dxa"/>
            <w:tcBorders>
              <w:top w:val="nil"/>
              <w:left w:val="nil"/>
              <w:bottom w:val="single" w:sz="4" w:space="0" w:color="auto"/>
              <w:right w:val="single" w:sz="4" w:space="0" w:color="auto"/>
            </w:tcBorders>
            <w:shd w:val="clear" w:color="auto" w:fill="auto"/>
            <w:noWrap/>
            <w:vAlign w:val="bottom"/>
          </w:tcPr>
          <w:p w14:paraId="65054A50" w14:textId="1BC992FB" w:rsidR="006319E8" w:rsidRDefault="006319E8"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c>
          <w:tcPr>
            <w:tcW w:w="1669" w:type="dxa"/>
            <w:tcBorders>
              <w:top w:val="nil"/>
              <w:left w:val="nil"/>
              <w:bottom w:val="single" w:sz="4" w:space="0" w:color="auto"/>
              <w:right w:val="single" w:sz="4" w:space="0" w:color="auto"/>
            </w:tcBorders>
            <w:shd w:val="clear" w:color="auto" w:fill="auto"/>
            <w:noWrap/>
            <w:vAlign w:val="bottom"/>
          </w:tcPr>
          <w:p w14:paraId="1700CEA2" w14:textId="1F1878A2" w:rsidR="006319E8" w:rsidRDefault="006319E8"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r>
      <w:tr w:rsidR="00E0390E" w:rsidRPr="00CC0399" w14:paraId="4C45BACD"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6916A14" w14:textId="010062AF" w:rsidR="00E0390E" w:rsidRPr="00CC0399" w:rsidRDefault="00E0390E"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TOTAL</w:t>
            </w:r>
            <w:r w:rsidRPr="00CC0399">
              <w:rPr>
                <w:rFonts w:ascii="Cambria" w:eastAsia="Times New Roman" w:hAnsi="Cambria" w:cs="Calibri"/>
                <w:sz w:val="16"/>
                <w:szCs w:val="16"/>
                <w:lang w:eastAsia="es-MX"/>
              </w:rPr>
              <w:t xml:space="preserve"> </w:t>
            </w:r>
          </w:p>
        </w:tc>
        <w:tc>
          <w:tcPr>
            <w:tcW w:w="1868" w:type="dxa"/>
            <w:tcBorders>
              <w:top w:val="nil"/>
              <w:left w:val="nil"/>
              <w:bottom w:val="single" w:sz="4" w:space="0" w:color="auto"/>
              <w:right w:val="single" w:sz="4" w:space="0" w:color="auto"/>
            </w:tcBorders>
            <w:shd w:val="clear" w:color="auto" w:fill="auto"/>
            <w:noWrap/>
            <w:vAlign w:val="bottom"/>
            <w:hideMark/>
          </w:tcPr>
          <w:p w14:paraId="639F4FA4" w14:textId="66D59412"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w:t>
            </w:r>
            <w:r w:rsidR="00BB570D">
              <w:rPr>
                <w:rFonts w:ascii="Cambria" w:eastAsia="Times New Roman" w:hAnsi="Cambria" w:cs="Calibri"/>
                <w:color w:val="000000"/>
                <w:sz w:val="16"/>
                <w:szCs w:val="16"/>
                <w:lang w:eastAsia="es-MX"/>
              </w:rPr>
              <w:t>353</w:t>
            </w:r>
            <w:r w:rsidRPr="00CC0399">
              <w:rPr>
                <w:rFonts w:ascii="Cambria" w:eastAsia="Times New Roman" w:hAnsi="Cambria" w:cs="Calibri"/>
                <w:color w:val="000000"/>
                <w:sz w:val="16"/>
                <w:szCs w:val="16"/>
                <w:lang w:eastAsia="es-MX"/>
              </w:rPr>
              <w:t>,</w:t>
            </w:r>
            <w:r w:rsidR="00BB570D">
              <w:rPr>
                <w:rFonts w:ascii="Cambria" w:eastAsia="Times New Roman" w:hAnsi="Cambria" w:cs="Calibri"/>
                <w:color w:val="000000"/>
                <w:sz w:val="16"/>
                <w:szCs w:val="16"/>
                <w:lang w:eastAsia="es-MX"/>
              </w:rPr>
              <w:t>535</w:t>
            </w:r>
            <w:r w:rsidRPr="00CC0399">
              <w:rPr>
                <w:rFonts w:ascii="Cambria" w:eastAsia="Times New Roman" w:hAnsi="Cambria" w:cs="Calibri"/>
                <w:color w:val="000000"/>
                <w:sz w:val="16"/>
                <w:szCs w:val="16"/>
                <w:lang w:eastAsia="es-MX"/>
              </w:rPr>
              <w:t>,</w:t>
            </w:r>
            <w:r w:rsidR="00BB570D">
              <w:rPr>
                <w:rFonts w:ascii="Cambria" w:eastAsia="Times New Roman" w:hAnsi="Cambria" w:cs="Calibri"/>
                <w:color w:val="000000"/>
                <w:sz w:val="16"/>
                <w:szCs w:val="16"/>
                <w:lang w:eastAsia="es-MX"/>
              </w:rPr>
              <w:t>978</w:t>
            </w:r>
          </w:p>
        </w:tc>
        <w:tc>
          <w:tcPr>
            <w:tcW w:w="1669" w:type="dxa"/>
            <w:tcBorders>
              <w:top w:val="nil"/>
              <w:left w:val="nil"/>
              <w:bottom w:val="single" w:sz="4" w:space="0" w:color="auto"/>
              <w:right w:val="single" w:sz="4" w:space="0" w:color="auto"/>
            </w:tcBorders>
            <w:shd w:val="clear" w:color="auto" w:fill="auto"/>
            <w:noWrap/>
            <w:vAlign w:val="bottom"/>
            <w:hideMark/>
          </w:tcPr>
          <w:p w14:paraId="71BF2044" w14:textId="6979D90A"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401</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198</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600</w:t>
            </w:r>
          </w:p>
        </w:tc>
      </w:tr>
    </w:tbl>
    <w:p w14:paraId="04ADA6E0" w14:textId="77777777" w:rsidR="00CC0399" w:rsidRDefault="00CC0399" w:rsidP="00CC0399">
      <w:pPr>
        <w:pStyle w:val="ROMANOS"/>
        <w:spacing w:after="0" w:line="240" w:lineRule="exact"/>
        <w:ind w:left="1068" w:firstLine="0"/>
        <w:rPr>
          <w:rFonts w:ascii="Cambria" w:hAnsi="Cambria" w:cs="DIN Pro Regular"/>
          <w:sz w:val="20"/>
          <w:szCs w:val="20"/>
          <w:lang w:val="es-MX"/>
        </w:rPr>
      </w:pPr>
    </w:p>
    <w:p w14:paraId="1158B99F" w14:textId="77777777" w:rsidR="00CC0399" w:rsidRDefault="00CC0399" w:rsidP="00CC0399">
      <w:pPr>
        <w:pStyle w:val="ROMANOS"/>
        <w:spacing w:after="0" w:line="240" w:lineRule="exact"/>
        <w:ind w:left="1068" w:firstLine="0"/>
        <w:rPr>
          <w:rFonts w:ascii="Cambria" w:hAnsi="Cambria" w:cs="DIN Pro Regular"/>
          <w:sz w:val="20"/>
          <w:szCs w:val="20"/>
          <w:lang w:val="es-MX"/>
        </w:rPr>
      </w:pPr>
    </w:p>
    <w:p w14:paraId="0CE1FC76" w14:textId="77777777" w:rsidR="00CC0399" w:rsidRPr="00E13883" w:rsidRDefault="00CC0399" w:rsidP="00CC0399">
      <w:pPr>
        <w:pStyle w:val="ROMANOS"/>
        <w:spacing w:after="0" w:line="240" w:lineRule="exact"/>
        <w:ind w:left="1068" w:firstLine="0"/>
        <w:rPr>
          <w:rFonts w:ascii="Cambria" w:hAnsi="Cambria" w:cs="DIN Pro Regular"/>
          <w:b/>
          <w:sz w:val="20"/>
          <w:szCs w:val="20"/>
          <w:lang w:val="es-MX"/>
        </w:rPr>
      </w:pPr>
    </w:p>
    <w:p w14:paraId="5E088078" w14:textId="039AE470"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224D38">
        <w:rPr>
          <w:rFonts w:ascii="Cambria" w:hAnsi="Cambria" w:cs="DIN Pro Regular"/>
          <w:sz w:val="20"/>
          <w:szCs w:val="20"/>
          <w:lang w:val="es-MX"/>
        </w:rPr>
        <w:t xml:space="preserve">Adquisiciones de bienes muebles e inmuebles </w:t>
      </w:r>
    </w:p>
    <w:p w14:paraId="32DCEA1F" w14:textId="77777777" w:rsidR="003A7741" w:rsidRDefault="003A7741" w:rsidP="003A7741">
      <w:pPr>
        <w:pStyle w:val="ROMANOS"/>
        <w:spacing w:after="0" w:line="240" w:lineRule="exact"/>
        <w:ind w:left="1068" w:firstLine="0"/>
        <w:rPr>
          <w:rFonts w:ascii="Cambria" w:hAnsi="Cambria" w:cs="DIN Pro Regular"/>
          <w:sz w:val="20"/>
          <w:szCs w:val="20"/>
          <w:lang w:val="es-MX"/>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3"/>
        <w:gridCol w:w="2315"/>
        <w:gridCol w:w="2268"/>
      </w:tblGrid>
      <w:tr w:rsidR="00BA0FDB" w:rsidRPr="00BA0FDB" w14:paraId="28E7CD16" w14:textId="77777777" w:rsidTr="00F26EAA">
        <w:trPr>
          <w:trHeight w:val="315"/>
          <w:jc w:val="center"/>
        </w:trPr>
        <w:tc>
          <w:tcPr>
            <w:tcW w:w="6946" w:type="dxa"/>
            <w:gridSpan w:val="3"/>
            <w:shd w:val="clear" w:color="auto" w:fill="00426A"/>
            <w:noWrap/>
            <w:vAlign w:val="center"/>
            <w:hideMark/>
          </w:tcPr>
          <w:p w14:paraId="0F14B81C" w14:textId="0B83B549" w:rsidR="00BA0FDB" w:rsidRPr="00BA0FDB" w:rsidRDefault="00BA0FDB" w:rsidP="00BA0FDB">
            <w:pPr>
              <w:spacing w:after="0" w:line="240" w:lineRule="auto"/>
              <w:jc w:val="center"/>
              <w:rPr>
                <w:rFonts w:ascii="Cambria" w:eastAsia="Times New Roman" w:hAnsi="Cambria" w:cs="Calibri"/>
                <w:b/>
                <w:bCs/>
                <w:color w:val="FFFFFF"/>
                <w:sz w:val="16"/>
                <w:szCs w:val="16"/>
                <w:lang w:eastAsia="es-MX"/>
              </w:rPr>
            </w:pPr>
            <w:r w:rsidRPr="00BA0FDB">
              <w:rPr>
                <w:rFonts w:ascii="Cambria" w:eastAsia="Times New Roman" w:hAnsi="Cambria" w:cs="Calibri"/>
                <w:b/>
                <w:bCs/>
                <w:color w:val="FFFFFF"/>
                <w:sz w:val="16"/>
                <w:szCs w:val="16"/>
                <w:lang w:eastAsia="es-MX"/>
              </w:rPr>
              <w:t>ADQUISICIONES DE ACTIVIDADES DE INVERSION EFECTIVAMENTE PAGADAS</w:t>
            </w:r>
          </w:p>
        </w:tc>
      </w:tr>
      <w:tr w:rsidR="00F26EAA" w:rsidRPr="00BA0FDB" w14:paraId="6A44C24B" w14:textId="77777777" w:rsidTr="00F26EAA">
        <w:trPr>
          <w:trHeight w:val="465"/>
          <w:jc w:val="center"/>
        </w:trPr>
        <w:tc>
          <w:tcPr>
            <w:tcW w:w="2363" w:type="dxa"/>
            <w:shd w:val="clear" w:color="auto" w:fill="00426A"/>
            <w:vAlign w:val="center"/>
            <w:hideMark/>
          </w:tcPr>
          <w:p w14:paraId="5FB38BD6" w14:textId="44D11263" w:rsidR="00BA0FDB" w:rsidRPr="00BA0FDB" w:rsidRDefault="00A52699" w:rsidP="00BA0FDB">
            <w:pPr>
              <w:spacing w:after="0" w:line="240" w:lineRule="auto"/>
              <w:jc w:val="center"/>
              <w:rPr>
                <w:rFonts w:ascii="Cambria" w:eastAsia="Times New Roman" w:hAnsi="Cambria" w:cs="Arial"/>
                <w:b/>
                <w:bCs/>
                <w:color w:val="FFFFFF"/>
                <w:sz w:val="16"/>
                <w:szCs w:val="16"/>
                <w:lang w:eastAsia="es-MX"/>
              </w:rPr>
            </w:pPr>
            <w:r>
              <w:rPr>
                <w:rFonts w:ascii="Cambria" w:eastAsia="Times New Roman" w:hAnsi="Cambria" w:cs="Arial"/>
                <w:b/>
                <w:bCs/>
                <w:color w:val="FFFFFF"/>
                <w:sz w:val="16"/>
                <w:szCs w:val="16"/>
                <w:lang w:eastAsia="es-MX"/>
              </w:rPr>
              <w:t>CONCEPTO</w:t>
            </w:r>
          </w:p>
        </w:tc>
        <w:tc>
          <w:tcPr>
            <w:tcW w:w="2315" w:type="dxa"/>
            <w:shd w:val="clear" w:color="auto" w:fill="00426A"/>
            <w:vAlign w:val="center"/>
            <w:hideMark/>
          </w:tcPr>
          <w:p w14:paraId="060873D7" w14:textId="2072B84E" w:rsidR="00BA0FDB" w:rsidRPr="00BA0FDB" w:rsidRDefault="00BA0FDB" w:rsidP="00BA0FDB">
            <w:pPr>
              <w:spacing w:after="0" w:line="240" w:lineRule="auto"/>
              <w:jc w:val="center"/>
              <w:rPr>
                <w:rFonts w:ascii="Cambria" w:eastAsia="Times New Roman" w:hAnsi="Cambria" w:cs="Arial"/>
                <w:b/>
                <w:bCs/>
                <w:color w:val="FFFFFF"/>
                <w:sz w:val="16"/>
                <w:szCs w:val="16"/>
                <w:lang w:eastAsia="es-MX"/>
              </w:rPr>
            </w:pPr>
            <w:r w:rsidRPr="00BA0FDB">
              <w:rPr>
                <w:rFonts w:ascii="Cambria" w:eastAsia="Times New Roman" w:hAnsi="Cambria" w:cs="Arial"/>
                <w:b/>
                <w:bCs/>
                <w:color w:val="FFFFFF"/>
                <w:sz w:val="16"/>
                <w:szCs w:val="16"/>
                <w:lang w:eastAsia="es-MX"/>
              </w:rPr>
              <w:t>DICIEMBRE 2023</w:t>
            </w:r>
          </w:p>
        </w:tc>
        <w:tc>
          <w:tcPr>
            <w:tcW w:w="2268" w:type="dxa"/>
            <w:shd w:val="clear" w:color="auto" w:fill="00426A"/>
            <w:vAlign w:val="center"/>
            <w:hideMark/>
          </w:tcPr>
          <w:p w14:paraId="0D50A7DF" w14:textId="6C155C7A" w:rsidR="00BA0FDB" w:rsidRPr="00BA0FDB" w:rsidRDefault="00BA0FDB" w:rsidP="00BA0FDB">
            <w:pPr>
              <w:spacing w:after="0" w:line="240" w:lineRule="auto"/>
              <w:jc w:val="center"/>
              <w:rPr>
                <w:rFonts w:ascii="Cambria" w:eastAsia="Times New Roman" w:hAnsi="Cambria" w:cs="Arial"/>
                <w:b/>
                <w:bCs/>
                <w:color w:val="FFFFFF"/>
                <w:sz w:val="16"/>
                <w:szCs w:val="16"/>
                <w:lang w:eastAsia="es-MX"/>
              </w:rPr>
            </w:pPr>
            <w:r w:rsidRPr="00BA0FDB">
              <w:rPr>
                <w:rFonts w:ascii="Cambria" w:eastAsia="Times New Roman" w:hAnsi="Cambria" w:cs="Arial"/>
                <w:b/>
                <w:bCs/>
                <w:color w:val="FFFFFF"/>
                <w:sz w:val="16"/>
                <w:szCs w:val="16"/>
                <w:lang w:eastAsia="es-MX"/>
              </w:rPr>
              <w:t>DICIEMBRE 2022</w:t>
            </w:r>
          </w:p>
        </w:tc>
      </w:tr>
      <w:tr w:rsidR="00735345" w:rsidRPr="00BA0FDB" w14:paraId="4701E4C5" w14:textId="77777777" w:rsidTr="00735345">
        <w:trPr>
          <w:trHeight w:val="465"/>
          <w:jc w:val="center"/>
        </w:trPr>
        <w:tc>
          <w:tcPr>
            <w:tcW w:w="2363" w:type="dxa"/>
            <w:shd w:val="clear" w:color="auto" w:fill="auto"/>
            <w:vAlign w:val="center"/>
          </w:tcPr>
          <w:p w14:paraId="648E090B" w14:textId="3F4A8E7E" w:rsidR="00735345" w:rsidRPr="006319E8" w:rsidRDefault="00735345" w:rsidP="00735345">
            <w:pPr>
              <w:spacing w:after="0" w:line="240" w:lineRule="auto"/>
              <w:rPr>
                <w:rFonts w:ascii="Cambria" w:eastAsia="Times New Roman" w:hAnsi="Cambria" w:cs="Arial"/>
                <w:b/>
                <w:bCs/>
                <w:sz w:val="16"/>
                <w:szCs w:val="16"/>
                <w:lang w:eastAsia="es-MX"/>
              </w:rPr>
            </w:pPr>
            <w:r w:rsidRPr="006319E8">
              <w:rPr>
                <w:rFonts w:ascii="Cambria" w:eastAsia="Times New Roman" w:hAnsi="Cambria" w:cs="Arial"/>
                <w:b/>
                <w:bCs/>
                <w:sz w:val="16"/>
                <w:szCs w:val="16"/>
                <w:lang w:eastAsia="es-MX"/>
              </w:rPr>
              <w:t>Bienes Inmuebles, Infraestructura y Construcciones en Proceso</w:t>
            </w:r>
          </w:p>
        </w:tc>
        <w:tc>
          <w:tcPr>
            <w:tcW w:w="2315" w:type="dxa"/>
            <w:shd w:val="clear" w:color="auto" w:fill="auto"/>
            <w:vAlign w:val="center"/>
          </w:tcPr>
          <w:p w14:paraId="37FDE056" w14:textId="40C4F7AF" w:rsidR="00735345" w:rsidRPr="006319E8" w:rsidRDefault="006319E8" w:rsidP="006319E8">
            <w:pPr>
              <w:spacing w:after="0" w:line="240" w:lineRule="auto"/>
              <w:jc w:val="right"/>
              <w:rPr>
                <w:rFonts w:ascii="Cambria" w:eastAsia="Times New Roman" w:hAnsi="Cambria" w:cs="Arial"/>
                <w:b/>
                <w:bCs/>
                <w:sz w:val="16"/>
                <w:szCs w:val="16"/>
                <w:lang w:eastAsia="es-MX"/>
              </w:rPr>
            </w:pPr>
            <w:r w:rsidRPr="006319E8">
              <w:rPr>
                <w:rFonts w:ascii="Cambria" w:eastAsia="Times New Roman" w:hAnsi="Cambria" w:cs="Arial"/>
                <w:b/>
                <w:bCs/>
                <w:sz w:val="16"/>
                <w:szCs w:val="16"/>
                <w:lang w:eastAsia="es-MX"/>
              </w:rPr>
              <w:t>178</w:t>
            </w:r>
            <w:r>
              <w:rPr>
                <w:rFonts w:ascii="Cambria" w:eastAsia="Times New Roman" w:hAnsi="Cambria" w:cs="Arial"/>
                <w:b/>
                <w:bCs/>
                <w:sz w:val="16"/>
                <w:szCs w:val="16"/>
                <w:lang w:eastAsia="es-MX"/>
              </w:rPr>
              <w:t>,860,050</w:t>
            </w:r>
          </w:p>
        </w:tc>
        <w:tc>
          <w:tcPr>
            <w:tcW w:w="2268" w:type="dxa"/>
            <w:shd w:val="clear" w:color="auto" w:fill="auto"/>
            <w:vAlign w:val="center"/>
          </w:tcPr>
          <w:p w14:paraId="219407F4" w14:textId="17024E7D" w:rsidR="00735345" w:rsidRPr="006319E8" w:rsidRDefault="006319E8" w:rsidP="006319E8">
            <w:pPr>
              <w:spacing w:after="0" w:line="240" w:lineRule="auto"/>
              <w:jc w:val="right"/>
              <w:rPr>
                <w:rFonts w:ascii="Cambria" w:eastAsia="Times New Roman" w:hAnsi="Cambria" w:cs="Arial"/>
                <w:b/>
                <w:bCs/>
                <w:sz w:val="16"/>
                <w:szCs w:val="16"/>
                <w:lang w:eastAsia="es-MX"/>
              </w:rPr>
            </w:pPr>
            <w:r>
              <w:rPr>
                <w:rFonts w:ascii="Cambria" w:eastAsia="Times New Roman" w:hAnsi="Cambria" w:cs="Arial"/>
                <w:b/>
                <w:bCs/>
                <w:sz w:val="16"/>
                <w:szCs w:val="16"/>
                <w:lang w:eastAsia="es-MX"/>
              </w:rPr>
              <w:t>104,532,241</w:t>
            </w:r>
          </w:p>
        </w:tc>
      </w:tr>
      <w:tr w:rsidR="00BA0FDB" w:rsidRPr="00BA0FDB" w14:paraId="39603545" w14:textId="77777777" w:rsidTr="00F26EAA">
        <w:trPr>
          <w:trHeight w:val="315"/>
          <w:jc w:val="center"/>
        </w:trPr>
        <w:tc>
          <w:tcPr>
            <w:tcW w:w="2363" w:type="dxa"/>
            <w:shd w:val="clear" w:color="auto" w:fill="auto"/>
            <w:vAlign w:val="center"/>
            <w:hideMark/>
          </w:tcPr>
          <w:p w14:paraId="6ADE9E7F"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Terrenos</w:t>
            </w:r>
          </w:p>
        </w:tc>
        <w:tc>
          <w:tcPr>
            <w:tcW w:w="2315" w:type="dxa"/>
            <w:shd w:val="clear" w:color="000000" w:fill="FFFFFF"/>
            <w:vAlign w:val="center"/>
            <w:hideMark/>
          </w:tcPr>
          <w:p w14:paraId="79735383" w14:textId="0F93DE95"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w:t>
            </w:r>
            <w:r w:rsidR="006319E8">
              <w:rPr>
                <w:rFonts w:ascii="Cambria" w:eastAsia="Times New Roman" w:hAnsi="Cambria" w:cs="Arial"/>
                <w:color w:val="000000"/>
                <w:sz w:val="16"/>
                <w:szCs w:val="16"/>
                <w:lang w:eastAsia="es-MX"/>
              </w:rPr>
              <w:t>0</w:t>
            </w:r>
            <w:r w:rsidRPr="00BA0FDB">
              <w:rPr>
                <w:rFonts w:ascii="Cambria" w:eastAsia="Times New Roman" w:hAnsi="Cambria" w:cs="Arial"/>
                <w:color w:val="000000"/>
                <w:sz w:val="16"/>
                <w:szCs w:val="16"/>
                <w:lang w:eastAsia="es-MX"/>
              </w:rPr>
              <w:t xml:space="preserve">   </w:t>
            </w:r>
          </w:p>
        </w:tc>
        <w:tc>
          <w:tcPr>
            <w:tcW w:w="2268" w:type="dxa"/>
            <w:shd w:val="clear" w:color="000000" w:fill="FFFFFF"/>
            <w:vAlign w:val="center"/>
            <w:hideMark/>
          </w:tcPr>
          <w:p w14:paraId="5857BFA6" w14:textId="2FF59B5B" w:rsidR="00BA0FDB" w:rsidRPr="00BA0FDB" w:rsidRDefault="006319E8" w:rsidP="00BA0FDB">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p>
        </w:tc>
      </w:tr>
      <w:tr w:rsidR="00BA0FDB" w:rsidRPr="00BA0FDB" w14:paraId="28F4E1B9" w14:textId="77777777" w:rsidTr="00F26EAA">
        <w:trPr>
          <w:trHeight w:val="315"/>
          <w:jc w:val="center"/>
        </w:trPr>
        <w:tc>
          <w:tcPr>
            <w:tcW w:w="2363" w:type="dxa"/>
            <w:shd w:val="clear" w:color="auto" w:fill="auto"/>
            <w:vAlign w:val="center"/>
            <w:hideMark/>
          </w:tcPr>
          <w:p w14:paraId="3AE87C79"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Edificios</w:t>
            </w:r>
          </w:p>
        </w:tc>
        <w:tc>
          <w:tcPr>
            <w:tcW w:w="2315" w:type="dxa"/>
            <w:shd w:val="clear" w:color="000000" w:fill="FFFFFF"/>
            <w:vAlign w:val="center"/>
            <w:hideMark/>
          </w:tcPr>
          <w:p w14:paraId="03FBF0B9" w14:textId="3ED8EAE8" w:rsidR="00BA0FDB" w:rsidRPr="00BA0FDB" w:rsidRDefault="00BA0FDB" w:rsidP="00BA0FDB">
            <w:pPr>
              <w:spacing w:after="0" w:line="240" w:lineRule="auto"/>
              <w:jc w:val="right"/>
              <w:rPr>
                <w:rFonts w:ascii="Cambria" w:eastAsia="Times New Roman" w:hAnsi="Cambria" w:cs="Arial"/>
                <w:sz w:val="16"/>
                <w:szCs w:val="16"/>
                <w:lang w:eastAsia="es-MX"/>
              </w:rPr>
            </w:pPr>
            <w:r w:rsidRPr="00BA0FDB">
              <w:rPr>
                <w:rFonts w:ascii="Cambria" w:eastAsia="Times New Roman" w:hAnsi="Cambria" w:cs="Arial"/>
                <w:sz w:val="16"/>
                <w:szCs w:val="16"/>
                <w:lang w:eastAsia="es-MX"/>
              </w:rPr>
              <w:t xml:space="preserve">                           172,106,717 </w:t>
            </w:r>
          </w:p>
        </w:tc>
        <w:tc>
          <w:tcPr>
            <w:tcW w:w="2268" w:type="dxa"/>
            <w:shd w:val="clear" w:color="000000" w:fill="FFFFFF"/>
            <w:vAlign w:val="center"/>
            <w:hideMark/>
          </w:tcPr>
          <w:p w14:paraId="734E969C" w14:textId="2851B60F"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130,668,348 </w:t>
            </w:r>
          </w:p>
        </w:tc>
      </w:tr>
      <w:tr w:rsidR="00BA0FDB" w:rsidRPr="00BA0FDB" w14:paraId="6116ABCC" w14:textId="77777777" w:rsidTr="00F26EAA">
        <w:trPr>
          <w:trHeight w:val="465"/>
          <w:jc w:val="center"/>
        </w:trPr>
        <w:tc>
          <w:tcPr>
            <w:tcW w:w="2363" w:type="dxa"/>
            <w:shd w:val="clear" w:color="auto" w:fill="auto"/>
            <w:vAlign w:val="center"/>
            <w:hideMark/>
          </w:tcPr>
          <w:p w14:paraId="55844435"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Construcciones en Proceso (Obra Pública)</w:t>
            </w:r>
          </w:p>
        </w:tc>
        <w:tc>
          <w:tcPr>
            <w:tcW w:w="2315" w:type="dxa"/>
            <w:shd w:val="clear" w:color="000000" w:fill="FFFFFF"/>
            <w:vAlign w:val="center"/>
            <w:hideMark/>
          </w:tcPr>
          <w:p w14:paraId="4E398277" w14:textId="1EF8ACED"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6,753,333 </w:t>
            </w:r>
          </w:p>
        </w:tc>
        <w:tc>
          <w:tcPr>
            <w:tcW w:w="2268" w:type="dxa"/>
            <w:shd w:val="clear" w:color="000000" w:fill="FFFFFF"/>
            <w:vAlign w:val="center"/>
            <w:hideMark/>
          </w:tcPr>
          <w:p w14:paraId="0F4EE793" w14:textId="44253199"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26,136,107 </w:t>
            </w:r>
          </w:p>
        </w:tc>
      </w:tr>
      <w:tr w:rsidR="00735345" w:rsidRPr="006319E8" w14:paraId="519AE051" w14:textId="77777777" w:rsidTr="00F26EAA">
        <w:trPr>
          <w:trHeight w:val="465"/>
          <w:jc w:val="center"/>
        </w:trPr>
        <w:tc>
          <w:tcPr>
            <w:tcW w:w="2363" w:type="dxa"/>
            <w:shd w:val="clear" w:color="auto" w:fill="auto"/>
            <w:vAlign w:val="center"/>
          </w:tcPr>
          <w:p w14:paraId="26EF1030" w14:textId="4DD66553" w:rsidR="00735345" w:rsidRPr="006319E8" w:rsidRDefault="00735345" w:rsidP="00BA0FDB">
            <w:pPr>
              <w:spacing w:after="0" w:line="240" w:lineRule="auto"/>
              <w:jc w:val="both"/>
              <w:rPr>
                <w:rFonts w:ascii="Cambria" w:eastAsia="Times New Roman" w:hAnsi="Cambria" w:cs="Arial"/>
                <w:b/>
                <w:color w:val="000000"/>
                <w:sz w:val="16"/>
                <w:szCs w:val="16"/>
                <w:lang w:eastAsia="es-MX"/>
              </w:rPr>
            </w:pPr>
            <w:r w:rsidRPr="006319E8">
              <w:rPr>
                <w:rFonts w:ascii="Cambria" w:eastAsia="Times New Roman" w:hAnsi="Cambria" w:cs="Arial"/>
                <w:b/>
                <w:color w:val="000000"/>
                <w:sz w:val="16"/>
                <w:szCs w:val="16"/>
                <w:lang w:eastAsia="es-MX"/>
              </w:rPr>
              <w:t>Bienes Muebles</w:t>
            </w:r>
          </w:p>
        </w:tc>
        <w:tc>
          <w:tcPr>
            <w:tcW w:w="2315" w:type="dxa"/>
            <w:shd w:val="clear" w:color="000000" w:fill="FFFFFF"/>
            <w:vAlign w:val="center"/>
          </w:tcPr>
          <w:p w14:paraId="3C4CD342" w14:textId="2DDA8554" w:rsidR="00735345" w:rsidRPr="006319E8" w:rsidRDefault="006319E8" w:rsidP="00BA0FDB">
            <w:pPr>
              <w:spacing w:after="0" w:line="240" w:lineRule="auto"/>
              <w:jc w:val="right"/>
              <w:rPr>
                <w:rFonts w:ascii="Cambria" w:eastAsia="Times New Roman" w:hAnsi="Cambria" w:cs="Arial"/>
                <w:b/>
                <w:color w:val="000000"/>
                <w:sz w:val="16"/>
                <w:szCs w:val="16"/>
                <w:lang w:eastAsia="es-MX"/>
              </w:rPr>
            </w:pPr>
            <w:r w:rsidRPr="006319E8">
              <w:rPr>
                <w:rFonts w:ascii="Cambria" w:eastAsia="Times New Roman" w:hAnsi="Cambria" w:cs="Arial"/>
                <w:b/>
                <w:color w:val="000000"/>
                <w:sz w:val="16"/>
                <w:szCs w:val="16"/>
                <w:lang w:eastAsia="es-MX"/>
              </w:rPr>
              <w:t>93,798,899</w:t>
            </w:r>
          </w:p>
        </w:tc>
        <w:tc>
          <w:tcPr>
            <w:tcW w:w="2268" w:type="dxa"/>
            <w:shd w:val="clear" w:color="000000" w:fill="FFFFFF"/>
            <w:vAlign w:val="center"/>
          </w:tcPr>
          <w:p w14:paraId="6A51724D" w14:textId="57368FBF" w:rsidR="00735345" w:rsidRPr="006319E8" w:rsidRDefault="006319E8" w:rsidP="00BA0FDB">
            <w:pPr>
              <w:spacing w:after="0" w:line="240" w:lineRule="auto"/>
              <w:jc w:val="right"/>
              <w:rPr>
                <w:rFonts w:ascii="Cambria" w:eastAsia="Times New Roman" w:hAnsi="Cambria" w:cs="Arial"/>
                <w:b/>
                <w:color w:val="000000"/>
                <w:sz w:val="16"/>
                <w:szCs w:val="16"/>
                <w:lang w:eastAsia="es-MX"/>
              </w:rPr>
            </w:pPr>
            <w:r w:rsidRPr="006319E8">
              <w:rPr>
                <w:rFonts w:ascii="Cambria" w:eastAsia="Times New Roman" w:hAnsi="Cambria" w:cs="Arial"/>
                <w:b/>
                <w:color w:val="000000"/>
                <w:sz w:val="16"/>
                <w:szCs w:val="16"/>
                <w:lang w:eastAsia="es-MX"/>
              </w:rPr>
              <w:t>78,443,822</w:t>
            </w:r>
          </w:p>
        </w:tc>
      </w:tr>
      <w:tr w:rsidR="00BA0FDB" w:rsidRPr="00BA0FDB" w14:paraId="50D1B89D" w14:textId="77777777" w:rsidTr="00F26EAA">
        <w:trPr>
          <w:trHeight w:val="465"/>
          <w:jc w:val="center"/>
        </w:trPr>
        <w:tc>
          <w:tcPr>
            <w:tcW w:w="2363" w:type="dxa"/>
            <w:shd w:val="clear" w:color="auto" w:fill="auto"/>
            <w:vAlign w:val="center"/>
            <w:hideMark/>
          </w:tcPr>
          <w:p w14:paraId="3DC99032"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Mobiliario y Equipo de Administración</w:t>
            </w:r>
          </w:p>
        </w:tc>
        <w:tc>
          <w:tcPr>
            <w:tcW w:w="2315" w:type="dxa"/>
            <w:shd w:val="clear" w:color="000000" w:fill="FFFFFF"/>
            <w:vAlign w:val="center"/>
            <w:hideMark/>
          </w:tcPr>
          <w:p w14:paraId="78AD94E5" w14:textId="61A9E4D9"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19,034,810 </w:t>
            </w:r>
          </w:p>
        </w:tc>
        <w:tc>
          <w:tcPr>
            <w:tcW w:w="2268" w:type="dxa"/>
            <w:shd w:val="clear" w:color="000000" w:fill="FFFFFF"/>
            <w:vAlign w:val="center"/>
            <w:hideMark/>
          </w:tcPr>
          <w:p w14:paraId="36360104" w14:textId="682EE6A2"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21,733,095 </w:t>
            </w:r>
          </w:p>
        </w:tc>
      </w:tr>
      <w:tr w:rsidR="00BA0FDB" w:rsidRPr="00BA0FDB" w14:paraId="0EC3B054" w14:textId="77777777" w:rsidTr="00F26EAA">
        <w:trPr>
          <w:trHeight w:val="555"/>
          <w:jc w:val="center"/>
        </w:trPr>
        <w:tc>
          <w:tcPr>
            <w:tcW w:w="2363" w:type="dxa"/>
            <w:shd w:val="clear" w:color="auto" w:fill="auto"/>
            <w:vAlign w:val="center"/>
            <w:hideMark/>
          </w:tcPr>
          <w:p w14:paraId="18A447CA"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Mobiliario y Equipo Educacional y Recreativo</w:t>
            </w:r>
          </w:p>
        </w:tc>
        <w:tc>
          <w:tcPr>
            <w:tcW w:w="2315" w:type="dxa"/>
            <w:shd w:val="clear" w:color="000000" w:fill="FFFFFF"/>
            <w:vAlign w:val="center"/>
            <w:hideMark/>
          </w:tcPr>
          <w:p w14:paraId="7162C14F" w14:textId="7505C19C"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11,105,869 </w:t>
            </w:r>
          </w:p>
        </w:tc>
        <w:tc>
          <w:tcPr>
            <w:tcW w:w="2268" w:type="dxa"/>
            <w:shd w:val="clear" w:color="000000" w:fill="FFFFFF"/>
            <w:vAlign w:val="center"/>
            <w:hideMark/>
          </w:tcPr>
          <w:p w14:paraId="749EE4FD" w14:textId="5F073EA9"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7,289,621 </w:t>
            </w:r>
          </w:p>
        </w:tc>
      </w:tr>
      <w:tr w:rsidR="00BA0FDB" w:rsidRPr="00BA0FDB" w14:paraId="3971B3AF" w14:textId="77777777" w:rsidTr="00F26EAA">
        <w:trPr>
          <w:trHeight w:val="570"/>
          <w:jc w:val="center"/>
        </w:trPr>
        <w:tc>
          <w:tcPr>
            <w:tcW w:w="2363" w:type="dxa"/>
            <w:shd w:val="clear" w:color="auto" w:fill="auto"/>
            <w:vAlign w:val="center"/>
            <w:hideMark/>
          </w:tcPr>
          <w:p w14:paraId="04504815"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Equipo e Instrumental Médico y de Laboratorio</w:t>
            </w:r>
          </w:p>
        </w:tc>
        <w:tc>
          <w:tcPr>
            <w:tcW w:w="2315" w:type="dxa"/>
            <w:shd w:val="clear" w:color="000000" w:fill="FFFFFF"/>
            <w:vAlign w:val="center"/>
            <w:hideMark/>
          </w:tcPr>
          <w:p w14:paraId="16E9FEA3" w14:textId="504754F7"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8,921,012 </w:t>
            </w:r>
          </w:p>
        </w:tc>
        <w:tc>
          <w:tcPr>
            <w:tcW w:w="2268" w:type="dxa"/>
            <w:shd w:val="clear" w:color="000000" w:fill="FFFFFF"/>
            <w:vAlign w:val="center"/>
            <w:hideMark/>
          </w:tcPr>
          <w:p w14:paraId="29DA5EC0" w14:textId="00D9A0EE"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6,610,237 </w:t>
            </w:r>
          </w:p>
        </w:tc>
      </w:tr>
      <w:tr w:rsidR="00BA0FDB" w:rsidRPr="00BA0FDB" w14:paraId="42ED4EC9" w14:textId="77777777" w:rsidTr="00F26EAA">
        <w:trPr>
          <w:trHeight w:val="315"/>
          <w:jc w:val="center"/>
        </w:trPr>
        <w:tc>
          <w:tcPr>
            <w:tcW w:w="2363" w:type="dxa"/>
            <w:shd w:val="clear" w:color="auto" w:fill="auto"/>
            <w:vAlign w:val="center"/>
            <w:hideMark/>
          </w:tcPr>
          <w:p w14:paraId="5A07026F"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Equipo de Transporte</w:t>
            </w:r>
          </w:p>
        </w:tc>
        <w:tc>
          <w:tcPr>
            <w:tcW w:w="2315" w:type="dxa"/>
            <w:shd w:val="clear" w:color="000000" w:fill="FFFFFF"/>
            <w:vAlign w:val="center"/>
            <w:hideMark/>
          </w:tcPr>
          <w:p w14:paraId="59F54F90" w14:textId="62C2CF99"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25,765,076 </w:t>
            </w:r>
          </w:p>
        </w:tc>
        <w:tc>
          <w:tcPr>
            <w:tcW w:w="2268" w:type="dxa"/>
            <w:shd w:val="clear" w:color="000000" w:fill="FFFFFF"/>
            <w:vAlign w:val="center"/>
            <w:hideMark/>
          </w:tcPr>
          <w:p w14:paraId="32FA2F17" w14:textId="68890A68"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18,516,278 </w:t>
            </w:r>
          </w:p>
        </w:tc>
      </w:tr>
      <w:tr w:rsidR="00BA0FDB" w:rsidRPr="00BA0FDB" w14:paraId="4913E6B5" w14:textId="77777777" w:rsidTr="00F26EAA">
        <w:trPr>
          <w:trHeight w:val="585"/>
          <w:jc w:val="center"/>
        </w:trPr>
        <w:tc>
          <w:tcPr>
            <w:tcW w:w="2363" w:type="dxa"/>
            <w:shd w:val="clear" w:color="auto" w:fill="auto"/>
            <w:vAlign w:val="center"/>
            <w:hideMark/>
          </w:tcPr>
          <w:p w14:paraId="24F44F29"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Maquinaria, Otros Equipos y Herramientas</w:t>
            </w:r>
          </w:p>
        </w:tc>
        <w:tc>
          <w:tcPr>
            <w:tcW w:w="2315" w:type="dxa"/>
            <w:shd w:val="clear" w:color="000000" w:fill="FFFFFF"/>
            <w:vAlign w:val="center"/>
            <w:hideMark/>
          </w:tcPr>
          <w:p w14:paraId="4B8D9F13" w14:textId="6FB1E41A"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28,972,132 </w:t>
            </w:r>
          </w:p>
        </w:tc>
        <w:tc>
          <w:tcPr>
            <w:tcW w:w="2268" w:type="dxa"/>
            <w:shd w:val="clear" w:color="000000" w:fill="FFFFFF"/>
            <w:vAlign w:val="center"/>
            <w:hideMark/>
          </w:tcPr>
          <w:p w14:paraId="131C8B2D" w14:textId="4C6BA1A8"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24,294,591 </w:t>
            </w:r>
          </w:p>
        </w:tc>
      </w:tr>
      <w:tr w:rsidR="00BA0FDB" w:rsidRPr="00BA0FDB" w14:paraId="1C8F3D26" w14:textId="77777777" w:rsidTr="00F26EAA">
        <w:trPr>
          <w:trHeight w:val="360"/>
          <w:jc w:val="center"/>
        </w:trPr>
        <w:tc>
          <w:tcPr>
            <w:tcW w:w="2363" w:type="dxa"/>
            <w:shd w:val="clear" w:color="auto" w:fill="auto"/>
            <w:vAlign w:val="center"/>
            <w:hideMark/>
          </w:tcPr>
          <w:p w14:paraId="1B8691C9" w14:textId="76CC5212"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Activos Biológicos</w:t>
            </w:r>
          </w:p>
        </w:tc>
        <w:tc>
          <w:tcPr>
            <w:tcW w:w="2315" w:type="dxa"/>
            <w:shd w:val="clear" w:color="000000" w:fill="FFFFFF"/>
            <w:vAlign w:val="center"/>
            <w:hideMark/>
          </w:tcPr>
          <w:p w14:paraId="1493924E" w14:textId="0006848E" w:rsidR="00BA0FDB" w:rsidRPr="00BA0FDB" w:rsidRDefault="006319E8" w:rsidP="00BA0FDB">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p>
        </w:tc>
        <w:tc>
          <w:tcPr>
            <w:tcW w:w="2268" w:type="dxa"/>
            <w:shd w:val="clear" w:color="000000" w:fill="FFFFFF"/>
            <w:vAlign w:val="center"/>
            <w:hideMark/>
          </w:tcPr>
          <w:p w14:paraId="7C607C58" w14:textId="4F722A8F" w:rsidR="00BA0FDB" w:rsidRPr="00BA0FDB" w:rsidRDefault="006319E8" w:rsidP="00BA0FDB">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p>
        </w:tc>
      </w:tr>
      <w:tr w:rsidR="006319E8" w:rsidRPr="006319E8" w14:paraId="27BB4148" w14:textId="77777777" w:rsidTr="00F26EAA">
        <w:trPr>
          <w:trHeight w:val="360"/>
          <w:jc w:val="center"/>
        </w:trPr>
        <w:tc>
          <w:tcPr>
            <w:tcW w:w="2363" w:type="dxa"/>
            <w:shd w:val="clear" w:color="auto" w:fill="auto"/>
            <w:vAlign w:val="center"/>
          </w:tcPr>
          <w:p w14:paraId="3C244C75" w14:textId="25DAEE5B" w:rsidR="006319E8" w:rsidRPr="006319E8" w:rsidRDefault="006319E8" w:rsidP="00BA0FDB">
            <w:pPr>
              <w:spacing w:after="0" w:line="240" w:lineRule="auto"/>
              <w:jc w:val="both"/>
              <w:rPr>
                <w:rFonts w:ascii="Cambria" w:eastAsia="Times New Roman" w:hAnsi="Cambria" w:cs="Arial"/>
                <w:b/>
                <w:bCs/>
                <w:color w:val="000000"/>
                <w:sz w:val="16"/>
                <w:szCs w:val="16"/>
                <w:lang w:eastAsia="es-MX"/>
              </w:rPr>
            </w:pPr>
            <w:r w:rsidRPr="006319E8">
              <w:rPr>
                <w:rFonts w:ascii="Cambria" w:eastAsia="Times New Roman" w:hAnsi="Cambria" w:cs="Arial"/>
                <w:b/>
                <w:bCs/>
                <w:color w:val="000000"/>
                <w:sz w:val="16"/>
                <w:szCs w:val="16"/>
                <w:lang w:eastAsia="es-MX"/>
              </w:rPr>
              <w:t>Otras inversiones</w:t>
            </w:r>
          </w:p>
        </w:tc>
        <w:tc>
          <w:tcPr>
            <w:tcW w:w="2315" w:type="dxa"/>
            <w:shd w:val="clear" w:color="000000" w:fill="FFFFFF"/>
            <w:vAlign w:val="center"/>
          </w:tcPr>
          <w:p w14:paraId="5795FD71" w14:textId="41AE1112" w:rsidR="006319E8" w:rsidRPr="006319E8" w:rsidRDefault="006319E8" w:rsidP="00BA0FDB">
            <w:pPr>
              <w:spacing w:after="0" w:line="240" w:lineRule="auto"/>
              <w:jc w:val="right"/>
              <w:rPr>
                <w:rFonts w:ascii="Cambria" w:eastAsia="Times New Roman" w:hAnsi="Cambria" w:cs="Arial"/>
                <w:b/>
                <w:bCs/>
                <w:color w:val="000000"/>
                <w:sz w:val="16"/>
                <w:szCs w:val="16"/>
                <w:lang w:eastAsia="es-MX"/>
              </w:rPr>
            </w:pPr>
            <w:r w:rsidRPr="006319E8">
              <w:rPr>
                <w:rFonts w:ascii="Cambria" w:eastAsia="Times New Roman" w:hAnsi="Cambria" w:cs="Arial"/>
                <w:b/>
                <w:bCs/>
                <w:color w:val="000000"/>
                <w:sz w:val="16"/>
                <w:szCs w:val="16"/>
                <w:lang w:eastAsia="es-MX"/>
              </w:rPr>
              <w:t>1,423,830</w:t>
            </w:r>
          </w:p>
        </w:tc>
        <w:tc>
          <w:tcPr>
            <w:tcW w:w="2268" w:type="dxa"/>
            <w:shd w:val="clear" w:color="000000" w:fill="FFFFFF"/>
            <w:vAlign w:val="center"/>
          </w:tcPr>
          <w:p w14:paraId="3028C932" w14:textId="2C079BC4" w:rsidR="006319E8" w:rsidRPr="006319E8" w:rsidRDefault="006319E8" w:rsidP="00BA0FDB">
            <w:pPr>
              <w:spacing w:after="0" w:line="240" w:lineRule="auto"/>
              <w:jc w:val="right"/>
              <w:rPr>
                <w:rFonts w:ascii="Cambria" w:eastAsia="Times New Roman" w:hAnsi="Cambria" w:cs="Arial"/>
                <w:b/>
                <w:bCs/>
                <w:color w:val="000000"/>
                <w:sz w:val="16"/>
                <w:szCs w:val="16"/>
                <w:lang w:eastAsia="es-MX"/>
              </w:rPr>
            </w:pPr>
            <w:r w:rsidRPr="006319E8">
              <w:rPr>
                <w:rFonts w:ascii="Cambria" w:eastAsia="Times New Roman" w:hAnsi="Cambria" w:cs="Arial"/>
                <w:b/>
                <w:bCs/>
                <w:color w:val="000000"/>
                <w:sz w:val="16"/>
                <w:szCs w:val="16"/>
                <w:lang w:eastAsia="es-MX"/>
              </w:rPr>
              <w:t>217,812</w:t>
            </w:r>
          </w:p>
        </w:tc>
      </w:tr>
      <w:tr w:rsidR="00BA0FDB" w:rsidRPr="00BA0FDB" w14:paraId="2425126B" w14:textId="77777777" w:rsidTr="00F26EAA">
        <w:trPr>
          <w:trHeight w:val="315"/>
          <w:jc w:val="center"/>
        </w:trPr>
        <w:tc>
          <w:tcPr>
            <w:tcW w:w="2363" w:type="dxa"/>
            <w:shd w:val="clear" w:color="auto" w:fill="auto"/>
            <w:vAlign w:val="center"/>
            <w:hideMark/>
          </w:tcPr>
          <w:p w14:paraId="3E2993FA"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Software</w:t>
            </w:r>
          </w:p>
        </w:tc>
        <w:tc>
          <w:tcPr>
            <w:tcW w:w="2315" w:type="dxa"/>
            <w:shd w:val="clear" w:color="000000" w:fill="FFFFFF"/>
            <w:vAlign w:val="center"/>
            <w:hideMark/>
          </w:tcPr>
          <w:p w14:paraId="5C1EA7FF" w14:textId="06323724"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697,303 </w:t>
            </w:r>
          </w:p>
        </w:tc>
        <w:tc>
          <w:tcPr>
            <w:tcW w:w="2268" w:type="dxa"/>
            <w:shd w:val="clear" w:color="000000" w:fill="FFFFFF"/>
            <w:vAlign w:val="center"/>
            <w:hideMark/>
          </w:tcPr>
          <w:p w14:paraId="1F1FDB19" w14:textId="7000D00B"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58,577 </w:t>
            </w:r>
          </w:p>
        </w:tc>
      </w:tr>
      <w:tr w:rsidR="00BA0FDB" w:rsidRPr="00BA0FDB" w14:paraId="3AE86778" w14:textId="77777777" w:rsidTr="00F26EAA">
        <w:trPr>
          <w:trHeight w:val="315"/>
          <w:jc w:val="center"/>
        </w:trPr>
        <w:tc>
          <w:tcPr>
            <w:tcW w:w="2363" w:type="dxa"/>
            <w:shd w:val="clear" w:color="auto" w:fill="auto"/>
            <w:vAlign w:val="center"/>
            <w:hideMark/>
          </w:tcPr>
          <w:p w14:paraId="3D405F86" w14:textId="77777777" w:rsidR="00BA0FDB" w:rsidRPr="00BA0FDB" w:rsidRDefault="00BA0FDB" w:rsidP="00BA0FDB">
            <w:pPr>
              <w:spacing w:after="0" w:line="240" w:lineRule="auto"/>
              <w:jc w:val="both"/>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Licencias</w:t>
            </w:r>
          </w:p>
        </w:tc>
        <w:tc>
          <w:tcPr>
            <w:tcW w:w="2315" w:type="dxa"/>
            <w:shd w:val="clear" w:color="000000" w:fill="FFFFFF"/>
            <w:vAlign w:val="center"/>
            <w:hideMark/>
          </w:tcPr>
          <w:p w14:paraId="699D6A8C" w14:textId="5F69CDA6"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726,527 </w:t>
            </w:r>
          </w:p>
        </w:tc>
        <w:tc>
          <w:tcPr>
            <w:tcW w:w="2268" w:type="dxa"/>
            <w:shd w:val="clear" w:color="000000" w:fill="FFFFFF"/>
            <w:vAlign w:val="center"/>
            <w:hideMark/>
          </w:tcPr>
          <w:p w14:paraId="570D7904" w14:textId="190E2B21" w:rsidR="00BA0FDB" w:rsidRPr="00BA0FDB" w:rsidRDefault="00BA0FDB" w:rsidP="00BA0FDB">
            <w:pPr>
              <w:spacing w:after="0" w:line="240" w:lineRule="auto"/>
              <w:jc w:val="right"/>
              <w:rPr>
                <w:rFonts w:ascii="Cambria" w:eastAsia="Times New Roman" w:hAnsi="Cambria" w:cs="Arial"/>
                <w:color w:val="000000"/>
                <w:sz w:val="16"/>
                <w:szCs w:val="16"/>
                <w:lang w:eastAsia="es-MX"/>
              </w:rPr>
            </w:pPr>
            <w:r w:rsidRPr="00BA0FDB">
              <w:rPr>
                <w:rFonts w:ascii="Cambria" w:eastAsia="Times New Roman" w:hAnsi="Cambria" w:cs="Arial"/>
                <w:color w:val="000000"/>
                <w:sz w:val="16"/>
                <w:szCs w:val="16"/>
                <w:lang w:eastAsia="es-MX"/>
              </w:rPr>
              <w:t xml:space="preserve">                                 159,235 </w:t>
            </w:r>
          </w:p>
        </w:tc>
      </w:tr>
      <w:tr w:rsidR="00BA0FDB" w:rsidRPr="00BA0FDB" w14:paraId="27FE6B5F" w14:textId="77777777" w:rsidTr="00F26EAA">
        <w:trPr>
          <w:trHeight w:val="315"/>
          <w:jc w:val="center"/>
        </w:trPr>
        <w:tc>
          <w:tcPr>
            <w:tcW w:w="2363" w:type="dxa"/>
            <w:shd w:val="clear" w:color="auto" w:fill="auto"/>
            <w:vAlign w:val="center"/>
            <w:hideMark/>
          </w:tcPr>
          <w:p w14:paraId="00D63858" w14:textId="365CACFE" w:rsidR="00BA0FDB" w:rsidRPr="00BA0FDB" w:rsidRDefault="00BA0FDB" w:rsidP="00BA0FDB">
            <w:pPr>
              <w:spacing w:after="0" w:line="240" w:lineRule="auto"/>
              <w:jc w:val="right"/>
              <w:rPr>
                <w:rFonts w:ascii="Cambria" w:eastAsia="Times New Roman" w:hAnsi="Cambria" w:cs="Arial"/>
                <w:sz w:val="16"/>
                <w:szCs w:val="16"/>
                <w:lang w:eastAsia="es-MX"/>
              </w:rPr>
            </w:pPr>
            <w:r w:rsidRPr="00BA0FDB">
              <w:rPr>
                <w:rFonts w:ascii="Cambria" w:eastAsia="Times New Roman" w:hAnsi="Cambria" w:cs="Arial"/>
                <w:sz w:val="16"/>
                <w:szCs w:val="16"/>
                <w:lang w:eastAsia="es-MX"/>
              </w:rPr>
              <w:t>TOTAL</w:t>
            </w:r>
          </w:p>
        </w:tc>
        <w:tc>
          <w:tcPr>
            <w:tcW w:w="2315" w:type="dxa"/>
            <w:shd w:val="clear" w:color="auto" w:fill="auto"/>
            <w:vAlign w:val="center"/>
            <w:hideMark/>
          </w:tcPr>
          <w:p w14:paraId="353C41F7" w14:textId="0DD53A5D" w:rsidR="00BA0FDB" w:rsidRPr="00BA0FDB" w:rsidRDefault="00BA0FDB" w:rsidP="00BA0FDB">
            <w:pPr>
              <w:spacing w:after="0" w:line="240" w:lineRule="auto"/>
              <w:jc w:val="right"/>
              <w:rPr>
                <w:rFonts w:ascii="Cambria" w:eastAsia="Times New Roman" w:hAnsi="Cambria" w:cs="Arial"/>
                <w:sz w:val="16"/>
                <w:szCs w:val="16"/>
                <w:lang w:eastAsia="es-MX"/>
              </w:rPr>
            </w:pPr>
            <w:r w:rsidRPr="00BA0FDB">
              <w:rPr>
                <w:rFonts w:ascii="Cambria" w:eastAsia="Times New Roman" w:hAnsi="Cambria" w:cs="Arial"/>
                <w:sz w:val="16"/>
                <w:szCs w:val="16"/>
                <w:lang w:eastAsia="es-MX"/>
              </w:rPr>
              <w:t xml:space="preserve">                           </w:t>
            </w:r>
            <w:r w:rsidR="00F26EAA">
              <w:rPr>
                <w:rFonts w:ascii="Cambria" w:eastAsia="Times New Roman" w:hAnsi="Cambria" w:cs="Arial"/>
                <w:sz w:val="16"/>
                <w:szCs w:val="16"/>
                <w:lang w:eastAsia="es-MX"/>
              </w:rPr>
              <w:t>$</w:t>
            </w:r>
            <w:r w:rsidRPr="00BA0FDB">
              <w:rPr>
                <w:rFonts w:ascii="Cambria" w:eastAsia="Times New Roman" w:hAnsi="Cambria" w:cs="Arial"/>
                <w:sz w:val="16"/>
                <w:szCs w:val="16"/>
                <w:lang w:eastAsia="es-MX"/>
              </w:rPr>
              <w:t xml:space="preserve">274,082,779 </w:t>
            </w:r>
          </w:p>
        </w:tc>
        <w:tc>
          <w:tcPr>
            <w:tcW w:w="2268" w:type="dxa"/>
            <w:shd w:val="clear" w:color="auto" w:fill="auto"/>
            <w:vAlign w:val="center"/>
            <w:hideMark/>
          </w:tcPr>
          <w:p w14:paraId="63BB6AD5" w14:textId="449C8B01" w:rsidR="00BA0FDB" w:rsidRPr="00BA0FDB" w:rsidRDefault="00BA0FDB" w:rsidP="00BA0FDB">
            <w:pPr>
              <w:spacing w:after="0" w:line="240" w:lineRule="auto"/>
              <w:jc w:val="right"/>
              <w:rPr>
                <w:rFonts w:ascii="Cambria" w:eastAsia="Times New Roman" w:hAnsi="Cambria" w:cs="Arial"/>
                <w:sz w:val="16"/>
                <w:szCs w:val="16"/>
                <w:lang w:eastAsia="es-MX"/>
              </w:rPr>
            </w:pPr>
            <w:r w:rsidRPr="00BA0FDB">
              <w:rPr>
                <w:rFonts w:ascii="Cambria" w:eastAsia="Times New Roman" w:hAnsi="Cambria" w:cs="Arial"/>
                <w:sz w:val="16"/>
                <w:szCs w:val="16"/>
                <w:lang w:eastAsia="es-MX"/>
              </w:rPr>
              <w:t xml:space="preserve">                          </w:t>
            </w:r>
            <w:r w:rsidR="00F26EAA">
              <w:rPr>
                <w:rFonts w:ascii="Cambria" w:eastAsia="Times New Roman" w:hAnsi="Cambria" w:cs="Arial"/>
                <w:sz w:val="16"/>
                <w:szCs w:val="16"/>
                <w:lang w:eastAsia="es-MX"/>
              </w:rPr>
              <w:t>$</w:t>
            </w:r>
            <w:r w:rsidRPr="00BA0FDB">
              <w:rPr>
                <w:rFonts w:ascii="Cambria" w:eastAsia="Times New Roman" w:hAnsi="Cambria" w:cs="Arial"/>
                <w:sz w:val="16"/>
                <w:szCs w:val="16"/>
                <w:lang w:eastAsia="es-MX"/>
              </w:rPr>
              <w:t xml:space="preserve">183,193,875 </w:t>
            </w:r>
          </w:p>
        </w:tc>
      </w:tr>
    </w:tbl>
    <w:p w14:paraId="15D45F61" w14:textId="77777777" w:rsidR="00BA0FDB" w:rsidRDefault="00BA0FDB" w:rsidP="003A7741">
      <w:pPr>
        <w:pStyle w:val="ROMANOS"/>
        <w:spacing w:after="0" w:line="240" w:lineRule="exact"/>
        <w:ind w:left="1068" w:firstLine="0"/>
        <w:rPr>
          <w:rFonts w:ascii="Cambria" w:hAnsi="Cambria" w:cs="DIN Pro Regular"/>
          <w:sz w:val="20"/>
          <w:szCs w:val="20"/>
          <w:lang w:val="es-MX"/>
        </w:rPr>
      </w:pPr>
    </w:p>
    <w:p w14:paraId="4CD1186C" w14:textId="77777777" w:rsidR="00BA0FDB" w:rsidRDefault="00BA0FDB" w:rsidP="003A7741">
      <w:pPr>
        <w:pStyle w:val="ROMANOS"/>
        <w:spacing w:after="0" w:line="240" w:lineRule="exact"/>
        <w:ind w:left="1068" w:firstLine="0"/>
        <w:rPr>
          <w:rFonts w:ascii="Cambria" w:hAnsi="Cambria" w:cs="DIN Pro Regular"/>
          <w:sz w:val="20"/>
          <w:szCs w:val="20"/>
          <w:lang w:val="es-MX"/>
        </w:rPr>
      </w:pPr>
    </w:p>
    <w:p w14:paraId="5BABEDE7" w14:textId="77777777" w:rsidR="00BA0FDB" w:rsidRDefault="00BA0FDB" w:rsidP="003A7741">
      <w:pPr>
        <w:pStyle w:val="ROMANOS"/>
        <w:spacing w:after="0" w:line="240" w:lineRule="exact"/>
        <w:ind w:left="1068" w:firstLine="0"/>
        <w:rPr>
          <w:rFonts w:ascii="Cambria" w:hAnsi="Cambria" w:cs="DIN Pro Regular"/>
          <w:sz w:val="20"/>
          <w:szCs w:val="20"/>
          <w:lang w:val="es-MX"/>
        </w:rPr>
      </w:pPr>
    </w:p>
    <w:p w14:paraId="2608C4CD" w14:textId="77777777" w:rsidR="003A7741" w:rsidRDefault="003A7741" w:rsidP="003A7741">
      <w:pPr>
        <w:pStyle w:val="ROMANOS"/>
        <w:spacing w:after="0" w:line="240" w:lineRule="exact"/>
        <w:ind w:left="1068" w:firstLine="0"/>
        <w:rPr>
          <w:rFonts w:ascii="Cambria" w:hAnsi="Cambria" w:cs="DIN Pro Regular"/>
          <w:sz w:val="20"/>
          <w:szCs w:val="20"/>
          <w:lang w:val="es-MX"/>
        </w:rPr>
      </w:pPr>
    </w:p>
    <w:p w14:paraId="015DEB91" w14:textId="77777777" w:rsidR="002655C8" w:rsidRDefault="002655C8" w:rsidP="003A7741">
      <w:pPr>
        <w:pStyle w:val="ROMANOS"/>
        <w:spacing w:after="0" w:line="240" w:lineRule="exact"/>
        <w:ind w:left="1068" w:firstLine="0"/>
        <w:rPr>
          <w:rFonts w:ascii="Cambria" w:hAnsi="Cambria" w:cs="DIN Pro Regular"/>
          <w:sz w:val="20"/>
          <w:szCs w:val="20"/>
          <w:lang w:val="es-MX"/>
        </w:rPr>
      </w:pPr>
    </w:p>
    <w:p w14:paraId="515320C5" w14:textId="77777777" w:rsidR="002655C8" w:rsidRDefault="002655C8" w:rsidP="003A7741">
      <w:pPr>
        <w:pStyle w:val="ROMANOS"/>
        <w:spacing w:after="0" w:line="240" w:lineRule="exact"/>
        <w:ind w:left="1068" w:firstLine="0"/>
        <w:rPr>
          <w:rFonts w:ascii="Cambria" w:hAnsi="Cambria" w:cs="DIN Pro Regular"/>
          <w:sz w:val="20"/>
          <w:szCs w:val="20"/>
          <w:lang w:val="es-MX"/>
        </w:rPr>
      </w:pPr>
    </w:p>
    <w:p w14:paraId="5FC4F4CA" w14:textId="77777777" w:rsidR="002655C8" w:rsidRDefault="002655C8" w:rsidP="003A7741">
      <w:pPr>
        <w:pStyle w:val="ROMANOS"/>
        <w:spacing w:after="0" w:line="240" w:lineRule="exact"/>
        <w:ind w:left="1068" w:firstLine="0"/>
        <w:rPr>
          <w:rFonts w:ascii="Cambria" w:hAnsi="Cambria" w:cs="DIN Pro Regular"/>
          <w:sz w:val="20"/>
          <w:szCs w:val="20"/>
          <w:lang w:val="es-MX"/>
        </w:rPr>
      </w:pPr>
    </w:p>
    <w:p w14:paraId="0A8800B0" w14:textId="77777777" w:rsidR="002655C8" w:rsidRDefault="002655C8" w:rsidP="003A7741">
      <w:pPr>
        <w:pStyle w:val="ROMANOS"/>
        <w:spacing w:after="0" w:line="240" w:lineRule="exact"/>
        <w:ind w:left="1068" w:firstLine="0"/>
        <w:rPr>
          <w:rFonts w:ascii="Cambria" w:hAnsi="Cambria" w:cs="DIN Pro Regular"/>
          <w:sz w:val="20"/>
          <w:szCs w:val="20"/>
          <w:lang w:val="es-MX"/>
        </w:rPr>
      </w:pPr>
    </w:p>
    <w:p w14:paraId="024BA6F5" w14:textId="77777777" w:rsidR="003A7741" w:rsidRDefault="003A7741" w:rsidP="003A7741">
      <w:pPr>
        <w:pStyle w:val="ROMANOS"/>
        <w:spacing w:after="0" w:line="240" w:lineRule="exact"/>
        <w:ind w:left="1068" w:firstLine="0"/>
        <w:rPr>
          <w:rFonts w:ascii="Cambria" w:hAnsi="Cambria" w:cs="DIN Pro Regular"/>
          <w:sz w:val="20"/>
          <w:szCs w:val="20"/>
          <w:lang w:val="es-MX"/>
        </w:rPr>
      </w:pPr>
    </w:p>
    <w:p w14:paraId="23D63F72" w14:textId="77777777" w:rsidR="001120EB" w:rsidRDefault="001120EB" w:rsidP="005732F9">
      <w:pPr>
        <w:pStyle w:val="ROMANOS"/>
        <w:spacing w:after="0" w:line="240" w:lineRule="exact"/>
        <w:ind w:left="1068" w:firstLine="0"/>
        <w:rPr>
          <w:rFonts w:ascii="Cambria" w:hAnsi="Cambria" w:cs="DIN Pro Regular"/>
          <w:sz w:val="20"/>
          <w:szCs w:val="20"/>
          <w:highlight w:val="yellow"/>
          <w:lang w:val="es-MX"/>
        </w:rPr>
      </w:pPr>
    </w:p>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lastRenderedPageBreak/>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31BE6484" w14:textId="77777777" w:rsidR="00CC0399" w:rsidRDefault="00CC0399" w:rsidP="000E6439">
      <w:pPr>
        <w:pStyle w:val="ROMANOS"/>
        <w:spacing w:after="0" w:line="240" w:lineRule="exact"/>
        <w:ind w:left="1140"/>
        <w:rPr>
          <w:rFonts w:ascii="Cambria" w:hAnsi="Cambria" w:cs="DIN Pro Regular"/>
          <w:sz w:val="20"/>
          <w:szCs w:val="20"/>
          <w:lang w:val="es-MX"/>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7"/>
        <w:gridCol w:w="1834"/>
        <w:gridCol w:w="1559"/>
      </w:tblGrid>
      <w:tr w:rsidR="00E0390E" w:rsidRPr="00CC0399" w14:paraId="619A3FAE" w14:textId="77777777" w:rsidTr="00940080">
        <w:trPr>
          <w:trHeight w:val="329"/>
        </w:trPr>
        <w:tc>
          <w:tcPr>
            <w:tcW w:w="6520" w:type="dxa"/>
            <w:gridSpan w:val="3"/>
            <w:shd w:val="clear" w:color="auto" w:fill="00426A"/>
            <w:vAlign w:val="center"/>
          </w:tcPr>
          <w:p w14:paraId="41B89789" w14:textId="60414E15" w:rsidR="00E0390E" w:rsidRPr="00CC0399" w:rsidRDefault="00E0390E" w:rsidP="00CC0399">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CONCILIACION DE FLUJOS DE EFECTIVOS NETOS</w:t>
            </w:r>
          </w:p>
        </w:tc>
      </w:tr>
      <w:tr w:rsidR="00E0390E" w:rsidRPr="00CC0399" w14:paraId="3E981FEA" w14:textId="77777777" w:rsidTr="00627FA5">
        <w:trPr>
          <w:trHeight w:val="329"/>
        </w:trPr>
        <w:tc>
          <w:tcPr>
            <w:tcW w:w="3127" w:type="dxa"/>
            <w:shd w:val="clear" w:color="auto" w:fill="00426A"/>
            <w:vAlign w:val="center"/>
          </w:tcPr>
          <w:p w14:paraId="5F78C272" w14:textId="29DABF60"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CONCEPTO</w:t>
            </w:r>
          </w:p>
        </w:tc>
        <w:tc>
          <w:tcPr>
            <w:tcW w:w="1834" w:type="dxa"/>
            <w:shd w:val="clear" w:color="auto" w:fill="00426A"/>
            <w:vAlign w:val="center"/>
          </w:tcPr>
          <w:p w14:paraId="36C872D8" w14:textId="21A95EAA" w:rsidR="00E0390E" w:rsidRDefault="002778D1"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w:t>
            </w:r>
            <w:r w:rsidR="00E0390E" w:rsidRPr="00CC0399">
              <w:rPr>
                <w:rFonts w:ascii="Cambria" w:eastAsia="Times New Roman" w:hAnsi="Cambria" w:cs="Calibri"/>
                <w:b/>
                <w:bCs/>
                <w:color w:val="FFFFFF"/>
                <w:sz w:val="16"/>
                <w:szCs w:val="16"/>
                <w:lang w:eastAsia="es-MX"/>
              </w:rPr>
              <w:t xml:space="preserve"> 202</w:t>
            </w:r>
            <w:r w:rsidR="00E0390E">
              <w:rPr>
                <w:rFonts w:ascii="Cambria" w:eastAsia="Times New Roman" w:hAnsi="Cambria" w:cs="Calibri"/>
                <w:b/>
                <w:bCs/>
                <w:color w:val="FFFFFF"/>
                <w:sz w:val="16"/>
                <w:szCs w:val="16"/>
                <w:lang w:eastAsia="es-MX"/>
              </w:rPr>
              <w:t>3</w:t>
            </w:r>
          </w:p>
        </w:tc>
        <w:tc>
          <w:tcPr>
            <w:tcW w:w="1559" w:type="dxa"/>
            <w:shd w:val="clear" w:color="auto" w:fill="00426A"/>
            <w:vAlign w:val="center"/>
          </w:tcPr>
          <w:p w14:paraId="42EAA3BB" w14:textId="57C42EAD" w:rsidR="00E0390E" w:rsidRPr="00CC0399" w:rsidRDefault="00E0390E" w:rsidP="00E0390E">
            <w:pPr>
              <w:spacing w:after="0" w:line="240" w:lineRule="auto"/>
              <w:jc w:val="center"/>
              <w:rPr>
                <w:rFonts w:ascii="Cambria" w:eastAsia="Times New Roman" w:hAnsi="Cambria" w:cs="Calibri"/>
                <w:b/>
                <w:bCs/>
                <w:color w:val="FFFFFF"/>
                <w:sz w:val="16"/>
                <w:szCs w:val="16"/>
                <w:lang w:eastAsia="es-MX"/>
              </w:rPr>
            </w:pPr>
            <w:r w:rsidRPr="00CC0399">
              <w:rPr>
                <w:rFonts w:ascii="Cambria" w:eastAsia="Times New Roman" w:hAnsi="Cambria" w:cs="Calibri"/>
                <w:b/>
                <w:bCs/>
                <w:color w:val="FFFFFF"/>
                <w:sz w:val="16"/>
                <w:szCs w:val="16"/>
                <w:lang w:eastAsia="es-MX"/>
              </w:rPr>
              <w:t>DICIEMBRE 2022</w:t>
            </w:r>
          </w:p>
        </w:tc>
      </w:tr>
      <w:tr w:rsidR="00E0390E" w:rsidRPr="00002290" w14:paraId="6EEACBED" w14:textId="77777777" w:rsidTr="00CC0399">
        <w:trPr>
          <w:trHeight w:val="300"/>
        </w:trPr>
        <w:tc>
          <w:tcPr>
            <w:tcW w:w="3127" w:type="dxa"/>
            <w:shd w:val="clear" w:color="auto" w:fill="auto"/>
            <w:vAlign w:val="center"/>
            <w:hideMark/>
          </w:tcPr>
          <w:p w14:paraId="7589D90A" w14:textId="77777777" w:rsidR="00E0390E" w:rsidRPr="00002290" w:rsidRDefault="00E0390E" w:rsidP="00E0390E">
            <w:pPr>
              <w:spacing w:after="0" w:line="240" w:lineRule="auto"/>
              <w:jc w:val="both"/>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Resultados del Ejercicio Ahorro/Desahorro</w:t>
            </w:r>
          </w:p>
        </w:tc>
        <w:tc>
          <w:tcPr>
            <w:tcW w:w="1834" w:type="dxa"/>
            <w:shd w:val="clear" w:color="auto" w:fill="auto"/>
            <w:vAlign w:val="center"/>
            <w:hideMark/>
          </w:tcPr>
          <w:p w14:paraId="445844E0" w14:textId="016AA551" w:rsidR="00E0390E" w:rsidRPr="00002290" w:rsidRDefault="00E0390E" w:rsidP="00E0390E">
            <w:pPr>
              <w:spacing w:after="0" w:line="240" w:lineRule="auto"/>
              <w:jc w:val="right"/>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 xml:space="preserve">                                       </w:t>
            </w:r>
            <w:r w:rsidR="002778D1" w:rsidRPr="00002290">
              <w:rPr>
                <w:rFonts w:ascii="Cambria" w:eastAsia="Times New Roman" w:hAnsi="Cambria" w:cs="Calibri"/>
                <w:b/>
                <w:bCs/>
                <w:color w:val="000000"/>
                <w:sz w:val="16"/>
                <w:szCs w:val="16"/>
                <w:lang w:eastAsia="es-MX"/>
              </w:rPr>
              <w:t>140</w:t>
            </w:r>
            <w:r w:rsidRPr="00002290">
              <w:rPr>
                <w:rFonts w:ascii="Cambria" w:eastAsia="Times New Roman" w:hAnsi="Cambria" w:cs="Calibri"/>
                <w:b/>
                <w:bCs/>
                <w:color w:val="000000"/>
                <w:sz w:val="16"/>
                <w:szCs w:val="16"/>
                <w:lang w:eastAsia="es-MX"/>
              </w:rPr>
              <w:t>,</w:t>
            </w:r>
            <w:r w:rsidR="00CB0262">
              <w:rPr>
                <w:rFonts w:ascii="Cambria" w:eastAsia="Times New Roman" w:hAnsi="Cambria" w:cs="Calibri"/>
                <w:b/>
                <w:bCs/>
                <w:color w:val="000000"/>
                <w:sz w:val="16"/>
                <w:szCs w:val="16"/>
                <w:lang w:eastAsia="es-MX"/>
              </w:rPr>
              <w:t>918</w:t>
            </w:r>
            <w:r w:rsidRPr="00002290">
              <w:rPr>
                <w:rFonts w:ascii="Cambria" w:eastAsia="Times New Roman" w:hAnsi="Cambria" w:cs="Calibri"/>
                <w:b/>
                <w:bCs/>
                <w:color w:val="000000"/>
                <w:sz w:val="16"/>
                <w:szCs w:val="16"/>
                <w:lang w:eastAsia="es-MX"/>
              </w:rPr>
              <w:t>,</w:t>
            </w:r>
            <w:r w:rsidR="00CB0262">
              <w:rPr>
                <w:rFonts w:ascii="Cambria" w:eastAsia="Times New Roman" w:hAnsi="Cambria" w:cs="Calibri"/>
                <w:b/>
                <w:bCs/>
                <w:color w:val="000000"/>
                <w:sz w:val="16"/>
                <w:szCs w:val="16"/>
                <w:lang w:eastAsia="es-MX"/>
              </w:rPr>
              <w:t>9</w:t>
            </w:r>
            <w:r w:rsidR="0066657B" w:rsidRPr="00002290">
              <w:rPr>
                <w:rFonts w:ascii="Cambria" w:eastAsia="Times New Roman" w:hAnsi="Cambria" w:cs="Calibri"/>
                <w:b/>
                <w:bCs/>
                <w:color w:val="000000"/>
                <w:sz w:val="16"/>
                <w:szCs w:val="16"/>
                <w:lang w:eastAsia="es-MX"/>
              </w:rPr>
              <w:t>01</w:t>
            </w:r>
            <w:r w:rsidRPr="00002290">
              <w:rPr>
                <w:rFonts w:ascii="Cambria" w:eastAsia="Times New Roman" w:hAnsi="Cambria" w:cs="Calibri"/>
                <w:b/>
                <w:bCs/>
                <w:color w:val="000000"/>
                <w:sz w:val="16"/>
                <w:szCs w:val="16"/>
                <w:lang w:eastAsia="es-MX"/>
              </w:rPr>
              <w:t xml:space="preserve"> </w:t>
            </w:r>
          </w:p>
        </w:tc>
        <w:tc>
          <w:tcPr>
            <w:tcW w:w="1559" w:type="dxa"/>
            <w:shd w:val="clear" w:color="auto" w:fill="auto"/>
            <w:vAlign w:val="center"/>
            <w:hideMark/>
          </w:tcPr>
          <w:p w14:paraId="0957231D" w14:textId="77777777" w:rsidR="00E0390E" w:rsidRPr="00002290" w:rsidRDefault="00E0390E" w:rsidP="00E0390E">
            <w:pPr>
              <w:spacing w:after="0" w:line="240" w:lineRule="auto"/>
              <w:jc w:val="right"/>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 xml:space="preserve">                                257,599,907 </w:t>
            </w:r>
          </w:p>
        </w:tc>
      </w:tr>
      <w:tr w:rsidR="00E0390E" w:rsidRPr="00CC0399" w14:paraId="4F5E3FF3" w14:textId="77777777" w:rsidTr="00CC0399">
        <w:trPr>
          <w:trHeight w:val="300"/>
        </w:trPr>
        <w:tc>
          <w:tcPr>
            <w:tcW w:w="3127" w:type="dxa"/>
            <w:shd w:val="clear" w:color="auto" w:fill="auto"/>
            <w:vAlign w:val="center"/>
            <w:hideMark/>
          </w:tcPr>
          <w:p w14:paraId="409E2C5F" w14:textId="77777777" w:rsidR="00E0390E" w:rsidRPr="00002290" w:rsidRDefault="00E0390E" w:rsidP="00E0390E">
            <w:pPr>
              <w:spacing w:after="0" w:line="240" w:lineRule="auto"/>
              <w:jc w:val="both"/>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Movimientos de partidas (o rubros) que no afectan al efectivo</w:t>
            </w:r>
          </w:p>
        </w:tc>
        <w:tc>
          <w:tcPr>
            <w:tcW w:w="1834" w:type="dxa"/>
            <w:shd w:val="clear" w:color="auto" w:fill="auto"/>
            <w:vAlign w:val="center"/>
            <w:hideMark/>
          </w:tcPr>
          <w:p w14:paraId="0F191A4C" w14:textId="15EF1CA2" w:rsidR="00E0390E" w:rsidRPr="00002290" w:rsidRDefault="00002290" w:rsidP="00E0390E">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81,979,722</w:t>
            </w:r>
          </w:p>
        </w:tc>
        <w:tc>
          <w:tcPr>
            <w:tcW w:w="1559" w:type="dxa"/>
            <w:shd w:val="clear" w:color="auto" w:fill="auto"/>
            <w:vAlign w:val="center"/>
            <w:hideMark/>
          </w:tcPr>
          <w:p w14:paraId="51128AA8" w14:textId="28E7A9C1" w:rsidR="00E0390E" w:rsidRPr="00002290" w:rsidRDefault="00002290" w:rsidP="00E0390E">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79,011,016</w:t>
            </w:r>
          </w:p>
        </w:tc>
      </w:tr>
      <w:tr w:rsidR="00E0390E" w:rsidRPr="00CC0399" w14:paraId="3B8B6347" w14:textId="77777777" w:rsidTr="00CC0399">
        <w:trPr>
          <w:trHeight w:val="300"/>
        </w:trPr>
        <w:tc>
          <w:tcPr>
            <w:tcW w:w="3127" w:type="dxa"/>
            <w:shd w:val="clear" w:color="auto" w:fill="auto"/>
            <w:vAlign w:val="center"/>
            <w:hideMark/>
          </w:tcPr>
          <w:p w14:paraId="6DC81CD9"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Depreciación</w:t>
            </w:r>
          </w:p>
        </w:tc>
        <w:tc>
          <w:tcPr>
            <w:tcW w:w="1834" w:type="dxa"/>
            <w:shd w:val="clear" w:color="auto" w:fill="auto"/>
            <w:vAlign w:val="center"/>
            <w:hideMark/>
          </w:tcPr>
          <w:p w14:paraId="3107AD4A" w14:textId="1FB7D315"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2778D1" w:rsidRPr="002778D1">
              <w:rPr>
                <w:rFonts w:ascii="Cambria" w:eastAsia="Times New Roman" w:hAnsi="Cambria" w:cs="Calibri"/>
                <w:color w:val="000000"/>
                <w:sz w:val="16"/>
                <w:szCs w:val="16"/>
                <w:lang w:eastAsia="es-MX"/>
              </w:rPr>
              <w:t>85</w:t>
            </w:r>
            <w:r w:rsidR="002778D1">
              <w:rPr>
                <w:rFonts w:ascii="Cambria" w:eastAsia="Times New Roman" w:hAnsi="Cambria" w:cs="Calibri"/>
                <w:color w:val="000000"/>
                <w:sz w:val="16"/>
                <w:szCs w:val="16"/>
                <w:lang w:eastAsia="es-MX"/>
              </w:rPr>
              <w:t>,</w:t>
            </w:r>
            <w:r w:rsidR="002778D1" w:rsidRPr="002778D1">
              <w:rPr>
                <w:rFonts w:ascii="Cambria" w:eastAsia="Times New Roman" w:hAnsi="Cambria" w:cs="Calibri"/>
                <w:color w:val="000000"/>
                <w:sz w:val="16"/>
                <w:szCs w:val="16"/>
                <w:lang w:eastAsia="es-MX"/>
              </w:rPr>
              <w:t>456</w:t>
            </w:r>
            <w:r w:rsidR="002778D1">
              <w:rPr>
                <w:rFonts w:ascii="Cambria" w:eastAsia="Times New Roman" w:hAnsi="Cambria" w:cs="Calibri"/>
                <w:color w:val="000000"/>
                <w:sz w:val="16"/>
                <w:szCs w:val="16"/>
                <w:lang w:eastAsia="es-MX"/>
              </w:rPr>
              <w:t>,</w:t>
            </w:r>
            <w:r w:rsidR="002778D1" w:rsidRPr="002778D1">
              <w:rPr>
                <w:rFonts w:ascii="Cambria" w:eastAsia="Times New Roman" w:hAnsi="Cambria" w:cs="Calibri"/>
                <w:color w:val="000000"/>
                <w:sz w:val="16"/>
                <w:szCs w:val="16"/>
                <w:lang w:eastAsia="es-MX"/>
              </w:rPr>
              <w:t>573</w:t>
            </w:r>
          </w:p>
        </w:tc>
        <w:tc>
          <w:tcPr>
            <w:tcW w:w="1559" w:type="dxa"/>
            <w:shd w:val="clear" w:color="auto" w:fill="auto"/>
            <w:vAlign w:val="center"/>
            <w:hideMark/>
          </w:tcPr>
          <w:p w14:paraId="0E8FBE7C"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82,356,517 </w:t>
            </w:r>
          </w:p>
        </w:tc>
      </w:tr>
      <w:tr w:rsidR="00E0390E" w:rsidRPr="00CC0399" w14:paraId="19761D21" w14:textId="77777777" w:rsidTr="00CC0399">
        <w:trPr>
          <w:trHeight w:val="300"/>
        </w:trPr>
        <w:tc>
          <w:tcPr>
            <w:tcW w:w="3127" w:type="dxa"/>
            <w:shd w:val="clear" w:color="auto" w:fill="auto"/>
            <w:vAlign w:val="center"/>
            <w:hideMark/>
          </w:tcPr>
          <w:p w14:paraId="6D6C7887"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Amortización</w:t>
            </w:r>
          </w:p>
        </w:tc>
        <w:tc>
          <w:tcPr>
            <w:tcW w:w="1834" w:type="dxa"/>
            <w:shd w:val="clear" w:color="auto" w:fill="auto"/>
            <w:vAlign w:val="center"/>
            <w:hideMark/>
          </w:tcPr>
          <w:p w14:paraId="7558B5CC" w14:textId="2685C637" w:rsidR="00E0390E" w:rsidRPr="00CC0399" w:rsidRDefault="004159C7" w:rsidP="00E0390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E0390E"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67433C88" w14:textId="4A4616B6"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4159C7">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657039E0" w14:textId="77777777" w:rsidTr="00CC0399">
        <w:trPr>
          <w:trHeight w:val="300"/>
        </w:trPr>
        <w:tc>
          <w:tcPr>
            <w:tcW w:w="3127" w:type="dxa"/>
            <w:shd w:val="clear" w:color="auto" w:fill="auto"/>
            <w:vAlign w:val="center"/>
            <w:hideMark/>
          </w:tcPr>
          <w:p w14:paraId="634827CB"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Incrementos en las provisiones</w:t>
            </w:r>
          </w:p>
        </w:tc>
        <w:tc>
          <w:tcPr>
            <w:tcW w:w="1834" w:type="dxa"/>
            <w:shd w:val="clear" w:color="auto" w:fill="auto"/>
            <w:vAlign w:val="center"/>
            <w:hideMark/>
          </w:tcPr>
          <w:p w14:paraId="622B8869" w14:textId="515DE0D1" w:rsidR="00E0390E" w:rsidRPr="00CC0399" w:rsidRDefault="004159C7" w:rsidP="00E0390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E0390E"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3B1D130A" w14:textId="6470AB06"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4159C7">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773F9802" w14:textId="77777777" w:rsidTr="00CC0399">
        <w:trPr>
          <w:trHeight w:val="300"/>
        </w:trPr>
        <w:tc>
          <w:tcPr>
            <w:tcW w:w="3127" w:type="dxa"/>
            <w:shd w:val="clear" w:color="auto" w:fill="auto"/>
            <w:vAlign w:val="center"/>
            <w:hideMark/>
          </w:tcPr>
          <w:p w14:paraId="1D693F03"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 en inversiones producido por revaluación</w:t>
            </w:r>
          </w:p>
        </w:tc>
        <w:tc>
          <w:tcPr>
            <w:tcW w:w="1834" w:type="dxa"/>
            <w:shd w:val="clear" w:color="auto" w:fill="auto"/>
            <w:vAlign w:val="center"/>
            <w:hideMark/>
          </w:tcPr>
          <w:p w14:paraId="69A31A7F" w14:textId="19869163" w:rsidR="00E0390E" w:rsidRPr="00CC0399" w:rsidRDefault="004159C7" w:rsidP="00E0390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E0390E"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313C741F" w14:textId="576E39F8"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4159C7">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7DB83E17" w14:textId="77777777" w:rsidTr="00CC0399">
        <w:trPr>
          <w:trHeight w:val="435"/>
        </w:trPr>
        <w:tc>
          <w:tcPr>
            <w:tcW w:w="3127" w:type="dxa"/>
            <w:shd w:val="clear" w:color="auto" w:fill="auto"/>
            <w:vAlign w:val="center"/>
            <w:hideMark/>
          </w:tcPr>
          <w:p w14:paraId="5DB78142"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Ganancia/pérdida en venta de bienes muebles, inmuebles e intangibles</w:t>
            </w:r>
          </w:p>
        </w:tc>
        <w:tc>
          <w:tcPr>
            <w:tcW w:w="1834" w:type="dxa"/>
            <w:shd w:val="clear" w:color="auto" w:fill="auto"/>
            <w:vAlign w:val="center"/>
            <w:hideMark/>
          </w:tcPr>
          <w:p w14:paraId="63E6969E" w14:textId="1A61A8CC"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2778D1">
              <w:rPr>
                <w:rFonts w:ascii="Cambria" w:eastAsia="Times New Roman" w:hAnsi="Cambria" w:cs="Calibri"/>
                <w:color w:val="000000"/>
                <w:sz w:val="16"/>
                <w:szCs w:val="16"/>
                <w:lang w:eastAsia="es-MX"/>
              </w:rPr>
              <w:t>3</w:t>
            </w:r>
            <w:r w:rsidRPr="00CC0399">
              <w:rPr>
                <w:rFonts w:ascii="Cambria" w:eastAsia="Times New Roman" w:hAnsi="Cambria" w:cs="Calibri"/>
                <w:color w:val="000000"/>
                <w:sz w:val="16"/>
                <w:szCs w:val="16"/>
                <w:lang w:eastAsia="es-MX"/>
              </w:rPr>
              <w:t>,</w:t>
            </w:r>
            <w:r w:rsidR="002778D1">
              <w:rPr>
                <w:rFonts w:ascii="Cambria" w:eastAsia="Times New Roman" w:hAnsi="Cambria" w:cs="Calibri"/>
                <w:color w:val="000000"/>
                <w:sz w:val="16"/>
                <w:szCs w:val="16"/>
                <w:lang w:eastAsia="es-MX"/>
              </w:rPr>
              <w:t>476</w:t>
            </w:r>
            <w:r w:rsidRPr="00CC0399">
              <w:rPr>
                <w:rFonts w:ascii="Cambria" w:eastAsia="Times New Roman" w:hAnsi="Cambria" w:cs="Calibri"/>
                <w:color w:val="000000"/>
                <w:sz w:val="16"/>
                <w:szCs w:val="16"/>
                <w:lang w:eastAsia="es-MX"/>
              </w:rPr>
              <w:t>,</w:t>
            </w:r>
            <w:r w:rsidR="002778D1">
              <w:rPr>
                <w:rFonts w:ascii="Cambria" w:eastAsia="Times New Roman" w:hAnsi="Cambria" w:cs="Calibri"/>
                <w:color w:val="000000"/>
                <w:sz w:val="16"/>
                <w:szCs w:val="16"/>
                <w:lang w:eastAsia="es-MX"/>
              </w:rPr>
              <w:t>851</w:t>
            </w:r>
            <w:r w:rsidRPr="00CC0399">
              <w:rPr>
                <w:rFonts w:ascii="Cambria" w:eastAsia="Times New Roman" w:hAnsi="Cambria" w:cs="Calibri"/>
                <w:color w:val="000000"/>
                <w:sz w:val="16"/>
                <w:szCs w:val="16"/>
                <w:lang w:eastAsia="es-MX"/>
              </w:rPr>
              <w:t xml:space="preserve"> </w:t>
            </w:r>
          </w:p>
        </w:tc>
        <w:tc>
          <w:tcPr>
            <w:tcW w:w="1559" w:type="dxa"/>
            <w:shd w:val="clear" w:color="auto" w:fill="auto"/>
            <w:vAlign w:val="center"/>
            <w:hideMark/>
          </w:tcPr>
          <w:p w14:paraId="202D1CD8"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3,345,501 </w:t>
            </w:r>
          </w:p>
        </w:tc>
      </w:tr>
      <w:tr w:rsidR="00E0390E" w:rsidRPr="00CC0399" w14:paraId="592CEE01" w14:textId="77777777" w:rsidTr="00CC0399">
        <w:trPr>
          <w:trHeight w:val="300"/>
        </w:trPr>
        <w:tc>
          <w:tcPr>
            <w:tcW w:w="3127" w:type="dxa"/>
            <w:shd w:val="clear" w:color="auto" w:fill="auto"/>
            <w:vAlign w:val="center"/>
            <w:hideMark/>
          </w:tcPr>
          <w:p w14:paraId="2032FE54"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 en cuentas por cobrar</w:t>
            </w:r>
          </w:p>
        </w:tc>
        <w:tc>
          <w:tcPr>
            <w:tcW w:w="1834" w:type="dxa"/>
            <w:shd w:val="clear" w:color="auto" w:fill="auto"/>
            <w:vAlign w:val="center"/>
            <w:hideMark/>
          </w:tcPr>
          <w:p w14:paraId="5F53ADA9" w14:textId="1F850391"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4159C7">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c>
          <w:tcPr>
            <w:tcW w:w="1559" w:type="dxa"/>
            <w:shd w:val="clear" w:color="auto" w:fill="auto"/>
            <w:vAlign w:val="center"/>
            <w:hideMark/>
          </w:tcPr>
          <w:p w14:paraId="283A21BC" w14:textId="45075E63"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4159C7">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7B09B536" w14:textId="77777777" w:rsidTr="00CC0399">
        <w:trPr>
          <w:trHeight w:val="300"/>
        </w:trPr>
        <w:tc>
          <w:tcPr>
            <w:tcW w:w="3127" w:type="dxa"/>
            <w:shd w:val="clear" w:color="auto" w:fill="auto"/>
            <w:vAlign w:val="center"/>
            <w:hideMark/>
          </w:tcPr>
          <w:p w14:paraId="2BB38BDC" w14:textId="77777777" w:rsidR="00E0390E" w:rsidRPr="00002290" w:rsidRDefault="00E0390E" w:rsidP="00E0390E">
            <w:pPr>
              <w:spacing w:after="0" w:line="240" w:lineRule="auto"/>
              <w:jc w:val="both"/>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Flujos de Efectivo Netos de las Actividades de Operación</w:t>
            </w:r>
          </w:p>
        </w:tc>
        <w:tc>
          <w:tcPr>
            <w:tcW w:w="1834" w:type="dxa"/>
            <w:shd w:val="clear" w:color="auto" w:fill="auto"/>
            <w:vAlign w:val="center"/>
            <w:hideMark/>
          </w:tcPr>
          <w:p w14:paraId="22093530" w14:textId="4796A328" w:rsidR="00E0390E" w:rsidRPr="00002290" w:rsidRDefault="00E0390E" w:rsidP="00E0390E">
            <w:pPr>
              <w:spacing w:after="0" w:line="240" w:lineRule="auto"/>
              <w:jc w:val="right"/>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w:t>
            </w:r>
            <w:r w:rsidR="00EE6ED5" w:rsidRPr="00002290">
              <w:rPr>
                <w:rFonts w:ascii="Cambria" w:eastAsia="Times New Roman" w:hAnsi="Cambria" w:cs="Calibri"/>
                <w:b/>
                <w:bCs/>
                <w:color w:val="000000"/>
                <w:sz w:val="16"/>
                <w:szCs w:val="16"/>
                <w:lang w:eastAsia="es-MX"/>
              </w:rPr>
              <w:t>222</w:t>
            </w:r>
            <w:r w:rsidRPr="00002290">
              <w:rPr>
                <w:rFonts w:ascii="Cambria" w:eastAsia="Times New Roman" w:hAnsi="Cambria" w:cs="Calibri"/>
                <w:b/>
                <w:bCs/>
                <w:color w:val="000000"/>
                <w:sz w:val="16"/>
                <w:szCs w:val="16"/>
                <w:lang w:eastAsia="es-MX"/>
              </w:rPr>
              <w:t>,</w:t>
            </w:r>
            <w:r w:rsidR="00CB0262">
              <w:rPr>
                <w:rFonts w:ascii="Cambria" w:eastAsia="Times New Roman" w:hAnsi="Cambria" w:cs="Calibri"/>
                <w:b/>
                <w:bCs/>
                <w:color w:val="000000"/>
                <w:sz w:val="16"/>
                <w:szCs w:val="16"/>
                <w:lang w:eastAsia="es-MX"/>
              </w:rPr>
              <w:t>898</w:t>
            </w:r>
            <w:r w:rsidRPr="00002290">
              <w:rPr>
                <w:rFonts w:ascii="Cambria" w:eastAsia="Times New Roman" w:hAnsi="Cambria" w:cs="Calibri"/>
                <w:b/>
                <w:bCs/>
                <w:color w:val="000000"/>
                <w:sz w:val="16"/>
                <w:szCs w:val="16"/>
                <w:lang w:eastAsia="es-MX"/>
              </w:rPr>
              <w:t>,</w:t>
            </w:r>
            <w:r w:rsidR="00CB0262">
              <w:rPr>
                <w:rFonts w:ascii="Cambria" w:eastAsia="Times New Roman" w:hAnsi="Cambria" w:cs="Calibri"/>
                <w:b/>
                <w:bCs/>
                <w:color w:val="000000"/>
                <w:sz w:val="16"/>
                <w:szCs w:val="16"/>
                <w:lang w:eastAsia="es-MX"/>
              </w:rPr>
              <w:t>623</w:t>
            </w:r>
          </w:p>
        </w:tc>
        <w:tc>
          <w:tcPr>
            <w:tcW w:w="1559" w:type="dxa"/>
            <w:shd w:val="clear" w:color="auto" w:fill="auto"/>
            <w:vAlign w:val="center"/>
            <w:hideMark/>
          </w:tcPr>
          <w:p w14:paraId="564A4A1A" w14:textId="77777777" w:rsidR="00E0390E" w:rsidRPr="00002290" w:rsidRDefault="00E0390E" w:rsidP="00E0390E">
            <w:pPr>
              <w:spacing w:after="0" w:line="240" w:lineRule="auto"/>
              <w:jc w:val="right"/>
              <w:rPr>
                <w:rFonts w:ascii="Cambria" w:eastAsia="Times New Roman" w:hAnsi="Cambria" w:cs="Calibri"/>
                <w:b/>
                <w:bCs/>
                <w:color w:val="000000"/>
                <w:sz w:val="16"/>
                <w:szCs w:val="16"/>
                <w:lang w:eastAsia="es-MX"/>
              </w:rPr>
            </w:pPr>
            <w:r w:rsidRPr="00002290">
              <w:rPr>
                <w:rFonts w:ascii="Cambria" w:eastAsia="Times New Roman" w:hAnsi="Cambria" w:cs="Calibri"/>
                <w:b/>
                <w:bCs/>
                <w:color w:val="000000"/>
                <w:sz w:val="16"/>
                <w:szCs w:val="16"/>
                <w:lang w:eastAsia="es-MX"/>
              </w:rPr>
              <w:t>$336,610,923</w:t>
            </w:r>
          </w:p>
        </w:tc>
      </w:tr>
    </w:tbl>
    <w:p w14:paraId="07E3226E" w14:textId="77777777" w:rsidR="00CC0399" w:rsidRDefault="00CC0399" w:rsidP="000E6439">
      <w:pPr>
        <w:pStyle w:val="ROMANOS"/>
        <w:spacing w:after="0" w:line="240" w:lineRule="exact"/>
        <w:ind w:left="1140"/>
        <w:rPr>
          <w:rFonts w:ascii="Cambria" w:hAnsi="Cambria" w:cs="DIN Pro Regular"/>
          <w:sz w:val="20"/>
          <w:szCs w:val="20"/>
          <w:lang w:val="es-MX"/>
        </w:rPr>
      </w:pPr>
    </w:p>
    <w:p w14:paraId="461C5CD3" w14:textId="77777777" w:rsidR="00CC0399" w:rsidRDefault="00CC0399" w:rsidP="000E6439">
      <w:pPr>
        <w:pStyle w:val="ROMANOS"/>
        <w:spacing w:after="0" w:line="240" w:lineRule="exact"/>
        <w:ind w:left="1140"/>
        <w:rPr>
          <w:rFonts w:ascii="Cambria" w:hAnsi="Cambria" w:cs="DIN Pro Regular"/>
          <w:sz w:val="20"/>
          <w:szCs w:val="20"/>
          <w:lang w:val="es-MX"/>
        </w:rPr>
      </w:pPr>
    </w:p>
    <w:p w14:paraId="162BA32D" w14:textId="77777777" w:rsidR="007570E8" w:rsidRDefault="007570E8" w:rsidP="000E6439">
      <w:pPr>
        <w:pStyle w:val="ROMANOS"/>
        <w:spacing w:after="0" w:line="240" w:lineRule="exact"/>
        <w:ind w:left="1140"/>
        <w:rPr>
          <w:rFonts w:ascii="Cambria" w:hAnsi="Cambria" w:cs="DIN Pro Regular"/>
          <w:sz w:val="20"/>
          <w:szCs w:val="20"/>
          <w:lang w:val="es-MX"/>
        </w:rPr>
      </w:pPr>
    </w:p>
    <w:p w14:paraId="4010297E" w14:textId="77777777" w:rsidR="00912F6F" w:rsidRDefault="00912F6F" w:rsidP="000E6439">
      <w:pPr>
        <w:pStyle w:val="ROMANOS"/>
        <w:spacing w:after="0" w:line="240" w:lineRule="exact"/>
        <w:ind w:left="1140"/>
        <w:rPr>
          <w:rFonts w:ascii="Cambria" w:hAnsi="Cambria" w:cs="DIN Pro Regular"/>
          <w:sz w:val="20"/>
          <w:szCs w:val="20"/>
          <w:lang w:val="es-MX"/>
        </w:rPr>
      </w:pPr>
    </w:p>
    <w:p w14:paraId="12994170" w14:textId="77777777" w:rsidR="007570E8" w:rsidRDefault="007570E8"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 xml:space="preserve">entre </w:t>
      </w:r>
      <w:r w:rsidRPr="006D57E6">
        <w:rPr>
          <w:rFonts w:ascii="Cambria" w:hAnsi="Cambria" w:cs="DIN Pro Regular"/>
          <w:b/>
          <w:smallCaps/>
          <w:sz w:val="20"/>
          <w:szCs w:val="20"/>
        </w:rPr>
        <w:t>los egresos presupuestarios y los gastos contables</w:t>
      </w:r>
      <w:r w:rsidR="00174108" w:rsidRPr="006D57E6">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2397F70F" w14:textId="65EBAB7B" w:rsidR="007006CA" w:rsidRPr="00D27C80" w:rsidRDefault="002A081E"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3C4F7BB2" wp14:editId="056A9BE7">
            <wp:extent cx="5937250" cy="3213100"/>
            <wp:effectExtent l="0" t="0" r="6350" b="6350"/>
            <wp:docPr id="7952130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213100"/>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74F9A617" w:rsidR="00C70BD8" w:rsidRDefault="000E420D"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3B4F4FC9" wp14:editId="3B671C11">
            <wp:extent cx="5249711" cy="5187950"/>
            <wp:effectExtent l="0" t="0" r="8255" b="0"/>
            <wp:docPr id="12070440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618" cy="5195764"/>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71366332" w14:textId="77777777" w:rsidR="002655C8" w:rsidRDefault="002655C8" w:rsidP="004F0A1B">
      <w:pPr>
        <w:spacing w:after="0"/>
        <w:jc w:val="both"/>
        <w:rPr>
          <w:rFonts w:ascii="DIN Pro Regular" w:eastAsia="Times New Roman" w:hAnsi="DIN Pro Regular" w:cs="DIN Pro Regular"/>
          <w:sz w:val="20"/>
          <w:szCs w:val="20"/>
          <w:lang w:val="es-ES" w:eastAsia="es-ES"/>
        </w:rPr>
      </w:pPr>
    </w:p>
    <w:p w14:paraId="6206002C" w14:textId="77777777" w:rsidR="002655C8" w:rsidRDefault="002655C8" w:rsidP="004F0A1B">
      <w:pPr>
        <w:spacing w:after="0"/>
        <w:jc w:val="both"/>
        <w:rPr>
          <w:rFonts w:ascii="DIN Pro Regular" w:eastAsia="Times New Roman" w:hAnsi="DIN Pro Regular" w:cs="DIN Pro Regular"/>
          <w:sz w:val="20"/>
          <w:szCs w:val="20"/>
          <w:lang w:val="es-ES" w:eastAsia="es-ES"/>
        </w:rPr>
      </w:pPr>
    </w:p>
    <w:p w14:paraId="47EEFFAC" w14:textId="77777777" w:rsidR="006F2F52" w:rsidRDefault="006F2F52"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11C9006A"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2CEB64CE"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 </w:t>
      </w:r>
    </w:p>
    <w:p w14:paraId="1E0825BF" w14:textId="1E180449" w:rsidR="00183F52" w:rsidRPr="00E020BE" w:rsidRDefault="00183F52" w:rsidP="00183F52">
      <w:pPr>
        <w:pStyle w:val="Texto"/>
        <w:spacing w:after="0" w:line="240" w:lineRule="exact"/>
        <w:ind w:left="708" w:firstLine="0"/>
        <w:rPr>
          <w:rFonts w:ascii="Cambria" w:hAnsi="Cambria" w:cs="DIN Pro Regular"/>
          <w:sz w:val="20"/>
        </w:rPr>
      </w:pPr>
      <w:r w:rsidRPr="003D17BF">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 éstos recursos se administran en Scotiabank Inverlat, S. A. Fideicomiso 7054 que</w:t>
      </w:r>
      <w:r w:rsidR="00263A6C" w:rsidRPr="003D17BF">
        <w:rPr>
          <w:rFonts w:ascii="Cambria" w:hAnsi="Cambria" w:cs="DIN Pro Regular"/>
          <w:sz w:val="20"/>
          <w:lang w:eastAsia="es-MX"/>
        </w:rPr>
        <w:t xml:space="preserve"> al </w:t>
      </w:r>
      <w:r w:rsidR="00B7195D">
        <w:rPr>
          <w:rFonts w:ascii="Cambria" w:hAnsi="Cambria" w:cs="DIN Pro Regular"/>
          <w:sz w:val="20"/>
          <w:lang w:eastAsia="es-MX"/>
        </w:rPr>
        <w:t>31 de diciembre</w:t>
      </w:r>
      <w:r w:rsidRPr="003D17BF">
        <w:rPr>
          <w:rFonts w:ascii="Cambria" w:hAnsi="Cambria" w:cs="DIN Pro Regular"/>
          <w:sz w:val="20"/>
          <w:lang w:eastAsia="es-MX"/>
        </w:rPr>
        <w:t xml:space="preserve"> de 202</w:t>
      </w:r>
      <w:r w:rsidR="00B35EF3" w:rsidRPr="003D17BF">
        <w:rPr>
          <w:rFonts w:ascii="Cambria" w:hAnsi="Cambria" w:cs="DIN Pro Regular"/>
          <w:sz w:val="20"/>
          <w:lang w:eastAsia="es-MX"/>
        </w:rPr>
        <w:t>3</w:t>
      </w:r>
      <w:r w:rsidRPr="003D17BF">
        <w:rPr>
          <w:rFonts w:ascii="Cambria" w:hAnsi="Cambria" w:cs="DIN Pro Regular"/>
          <w:sz w:val="20"/>
          <w:lang w:eastAsia="es-MX"/>
        </w:rPr>
        <w:t xml:space="preserve"> es por un importe de $</w:t>
      </w:r>
      <w:r w:rsidR="001517A9" w:rsidRPr="003D17BF">
        <w:rPr>
          <w:rFonts w:ascii="Cambria" w:hAnsi="Cambria" w:cs="DIN Pro Regular"/>
          <w:sz w:val="20"/>
          <w:lang w:val="es-MX" w:eastAsia="es-MX"/>
        </w:rPr>
        <w:t>1,</w:t>
      </w:r>
      <w:r w:rsidR="00591A08">
        <w:rPr>
          <w:rFonts w:ascii="Cambria" w:hAnsi="Cambria" w:cs="DIN Pro Regular"/>
          <w:sz w:val="20"/>
          <w:lang w:val="es-MX" w:eastAsia="es-MX"/>
        </w:rPr>
        <w:t>645</w:t>
      </w:r>
      <w:r w:rsidR="001517A9" w:rsidRPr="003D17BF">
        <w:rPr>
          <w:rFonts w:ascii="Cambria" w:hAnsi="Cambria" w:cs="DIN Pro Regular"/>
          <w:sz w:val="20"/>
          <w:lang w:val="es-MX" w:eastAsia="es-MX"/>
        </w:rPr>
        <w:t>,</w:t>
      </w:r>
      <w:r w:rsidR="00591A08">
        <w:rPr>
          <w:rFonts w:ascii="Cambria" w:hAnsi="Cambria" w:cs="DIN Pro Regular"/>
          <w:sz w:val="20"/>
          <w:lang w:val="es-MX" w:eastAsia="es-MX"/>
        </w:rPr>
        <w:t>034</w:t>
      </w:r>
      <w:r w:rsidR="001517A9" w:rsidRPr="003D17BF">
        <w:rPr>
          <w:rFonts w:ascii="Cambria" w:hAnsi="Cambria" w:cs="DIN Pro Regular"/>
          <w:sz w:val="20"/>
          <w:lang w:val="es-MX" w:eastAsia="es-MX"/>
        </w:rPr>
        <w:t>,</w:t>
      </w:r>
      <w:r w:rsidR="00591A08">
        <w:rPr>
          <w:rFonts w:ascii="Cambria" w:hAnsi="Cambria" w:cs="DIN Pro Regular"/>
          <w:sz w:val="20"/>
          <w:lang w:val="es-MX" w:eastAsia="es-MX"/>
        </w:rPr>
        <w:t>045</w:t>
      </w:r>
      <w:r w:rsidR="001517A9" w:rsidRPr="003D17BF">
        <w:rPr>
          <w:rFonts w:ascii="Cambria" w:hAnsi="Cambria" w:cs="DIN Pro Regular"/>
          <w:sz w:val="20"/>
          <w:lang w:val="es-MX" w:eastAsia="es-MX"/>
        </w:rPr>
        <w:t xml:space="preserve"> </w:t>
      </w:r>
      <w:r w:rsidR="00C01B40" w:rsidRPr="003D17BF">
        <w:rPr>
          <w:rFonts w:ascii="Cambria" w:hAnsi="Cambria" w:cs="DIN Pro Regular"/>
          <w:sz w:val="20"/>
          <w:lang w:eastAsia="es-MX"/>
        </w:rPr>
        <w:t>pesos</w:t>
      </w:r>
      <w:r w:rsidR="00C01B40" w:rsidRPr="003F718E">
        <w:rPr>
          <w:rFonts w:ascii="Cambria" w:hAnsi="Cambria" w:cs="DIN Pro Regular"/>
          <w:sz w:val="20"/>
          <w:lang w:eastAsia="es-MX"/>
        </w:rPr>
        <w:t>;</w:t>
      </w:r>
      <w:r w:rsidRPr="003F718E">
        <w:rPr>
          <w:rFonts w:ascii="Cambria" w:hAnsi="Cambria" w:cs="DIN Pro Regular"/>
          <w:sz w:val="20"/>
          <w:lang w:eastAsia="es-MX"/>
        </w:rPr>
        <w:t xml:space="preserve"> </w:t>
      </w:r>
      <w:r w:rsidR="003F718E">
        <w:rPr>
          <w:rFonts w:ascii="Cambria" w:hAnsi="Cambria" w:cs="DIN Pro Regular"/>
          <w:sz w:val="20"/>
          <w:lang w:eastAsia="es-MX"/>
        </w:rPr>
        <w:t>Las c</w:t>
      </w:r>
      <w:r w:rsidR="00C01B40" w:rsidRPr="003F718E">
        <w:rPr>
          <w:rFonts w:ascii="Cambria" w:hAnsi="Cambria" w:cs="DIN Pro Regular"/>
          <w:sz w:val="20"/>
          <w:lang w:eastAsia="es-MX"/>
        </w:rPr>
        <w:t>uentas individuales de ahorro para el retiro por $</w:t>
      </w:r>
      <w:r w:rsidR="00591A08" w:rsidRPr="003F718E">
        <w:rPr>
          <w:rFonts w:ascii="Cambria" w:hAnsi="Cambria" w:cs="DIN Pro Regular"/>
          <w:sz w:val="20"/>
          <w:lang w:val="es-MX" w:eastAsia="es-MX"/>
        </w:rPr>
        <w:t>80</w:t>
      </w:r>
      <w:r w:rsidR="001517A9" w:rsidRPr="003F718E">
        <w:rPr>
          <w:rFonts w:ascii="Cambria" w:hAnsi="Cambria" w:cs="DIN Pro Regular"/>
          <w:sz w:val="20"/>
          <w:lang w:val="es-MX" w:eastAsia="es-MX"/>
        </w:rPr>
        <w:t>,</w:t>
      </w:r>
      <w:r w:rsidR="00591A08" w:rsidRPr="003F718E">
        <w:rPr>
          <w:rFonts w:ascii="Cambria" w:hAnsi="Cambria" w:cs="DIN Pro Regular"/>
          <w:sz w:val="20"/>
          <w:lang w:val="es-MX" w:eastAsia="es-MX"/>
        </w:rPr>
        <w:t>735</w:t>
      </w:r>
      <w:r w:rsidR="001517A9" w:rsidRPr="003F718E">
        <w:rPr>
          <w:rFonts w:ascii="Cambria" w:hAnsi="Cambria" w:cs="DIN Pro Regular"/>
          <w:sz w:val="20"/>
          <w:lang w:val="es-MX" w:eastAsia="es-MX"/>
        </w:rPr>
        <w:t>,</w:t>
      </w:r>
      <w:r w:rsidR="00591A08" w:rsidRPr="003F718E">
        <w:rPr>
          <w:rFonts w:ascii="Cambria" w:hAnsi="Cambria" w:cs="DIN Pro Regular"/>
          <w:sz w:val="20"/>
          <w:lang w:val="es-MX" w:eastAsia="es-MX"/>
        </w:rPr>
        <w:t>047</w:t>
      </w:r>
      <w:r w:rsidR="0014068F" w:rsidRPr="003F718E">
        <w:rPr>
          <w:rFonts w:ascii="Cambria" w:hAnsi="Cambria" w:cs="DIN Pro Regular"/>
          <w:sz w:val="20"/>
          <w:lang w:val="es-MX" w:eastAsia="es-MX"/>
        </w:rPr>
        <w:t xml:space="preserve"> </w:t>
      </w:r>
      <w:r w:rsidR="00C01B40" w:rsidRPr="003F718E">
        <w:rPr>
          <w:rFonts w:ascii="Cambria" w:hAnsi="Cambria" w:cs="DIN Pro Regular"/>
          <w:sz w:val="20"/>
          <w:lang w:eastAsia="es-MX"/>
        </w:rPr>
        <w:t>pesos</w:t>
      </w:r>
      <w:r w:rsidR="003F718E">
        <w:rPr>
          <w:rFonts w:ascii="Cambria" w:hAnsi="Cambria" w:cs="DIN Pro Regular"/>
          <w:sz w:val="20"/>
          <w:lang w:eastAsia="es-MX"/>
        </w:rPr>
        <w:t xml:space="preserve"> y </w:t>
      </w:r>
      <w:r w:rsidR="00C01B40" w:rsidRPr="003F718E">
        <w:rPr>
          <w:rFonts w:ascii="Cambria" w:hAnsi="Cambria" w:cs="DIN Pro Regular"/>
          <w:sz w:val="20"/>
          <w:lang w:eastAsia="es-MX"/>
        </w:rPr>
        <w:t xml:space="preserve"> Reserva para</w:t>
      </w:r>
      <w:r w:rsidR="00912F6F" w:rsidRPr="003F718E">
        <w:rPr>
          <w:rFonts w:ascii="Cambria" w:hAnsi="Cambria" w:cs="DIN Pro Regular"/>
          <w:sz w:val="20"/>
          <w:lang w:eastAsia="es-MX"/>
        </w:rPr>
        <w:t xml:space="preserve"> invalidez del</w:t>
      </w:r>
      <w:r w:rsidR="00C01B40" w:rsidRPr="003F718E">
        <w:rPr>
          <w:rFonts w:ascii="Cambria" w:hAnsi="Cambria" w:cs="DIN Pro Regular"/>
          <w:sz w:val="20"/>
          <w:lang w:eastAsia="es-MX"/>
        </w:rPr>
        <w:t xml:space="preserve"> personal pensionado por $</w:t>
      </w:r>
      <w:r w:rsidR="00591A08" w:rsidRPr="003F718E">
        <w:rPr>
          <w:rFonts w:ascii="Cambria" w:hAnsi="Cambria" w:cs="DIN Pro Regular"/>
          <w:sz w:val="20"/>
          <w:lang w:val="es-MX" w:eastAsia="es-MX"/>
        </w:rPr>
        <w:t>14</w:t>
      </w:r>
      <w:r w:rsidR="001517A9" w:rsidRPr="003F718E">
        <w:rPr>
          <w:rFonts w:ascii="Cambria" w:hAnsi="Cambria" w:cs="DIN Pro Regular"/>
          <w:sz w:val="20"/>
          <w:lang w:val="es-MX" w:eastAsia="es-MX"/>
        </w:rPr>
        <w:t>,</w:t>
      </w:r>
      <w:r w:rsidR="00591A08" w:rsidRPr="003F718E">
        <w:rPr>
          <w:rFonts w:ascii="Cambria" w:hAnsi="Cambria" w:cs="DIN Pro Regular"/>
          <w:sz w:val="20"/>
          <w:lang w:val="es-MX" w:eastAsia="es-MX"/>
        </w:rPr>
        <w:t>158</w:t>
      </w:r>
      <w:r w:rsidR="001517A9" w:rsidRPr="003F718E">
        <w:rPr>
          <w:rFonts w:ascii="Cambria" w:hAnsi="Cambria" w:cs="DIN Pro Regular"/>
          <w:sz w:val="20"/>
          <w:lang w:val="es-MX" w:eastAsia="es-MX"/>
        </w:rPr>
        <w:t>,</w:t>
      </w:r>
      <w:r w:rsidR="00591A08" w:rsidRPr="003F718E">
        <w:rPr>
          <w:rFonts w:ascii="Cambria" w:hAnsi="Cambria" w:cs="DIN Pro Regular"/>
          <w:sz w:val="20"/>
          <w:lang w:val="es-MX" w:eastAsia="es-MX"/>
        </w:rPr>
        <w:t>895</w:t>
      </w:r>
      <w:r w:rsidR="001517A9" w:rsidRPr="003F718E">
        <w:rPr>
          <w:rFonts w:ascii="Cambria" w:hAnsi="Cambria" w:cs="DIN Pro Regular"/>
          <w:sz w:val="20"/>
          <w:lang w:val="es-MX" w:eastAsia="es-MX"/>
        </w:rPr>
        <w:t xml:space="preserve"> </w:t>
      </w:r>
      <w:r w:rsidR="00C01B40" w:rsidRPr="003F718E">
        <w:rPr>
          <w:rFonts w:ascii="Cambria" w:hAnsi="Cambria" w:cs="DIN Pro Regular"/>
          <w:sz w:val="20"/>
          <w:lang w:eastAsia="es-MX"/>
        </w:rPr>
        <w:t>pesos</w:t>
      </w:r>
      <w:r w:rsidR="003F718E">
        <w:rPr>
          <w:rFonts w:ascii="Cambria" w:hAnsi="Cambria" w:cs="DIN Pro Regular"/>
          <w:sz w:val="20"/>
          <w:lang w:eastAsia="es-MX"/>
        </w:rPr>
        <w:t xml:space="preserve">, estos recursos se administran en SURA </w:t>
      </w:r>
      <w:proofErr w:type="spellStart"/>
      <w:r w:rsidR="003F718E">
        <w:rPr>
          <w:rFonts w:ascii="Cambria" w:hAnsi="Cambria" w:cs="DIN Pro Regular"/>
          <w:sz w:val="20"/>
          <w:lang w:eastAsia="es-MX"/>
        </w:rPr>
        <w:t>Investment</w:t>
      </w:r>
      <w:proofErr w:type="spellEnd"/>
      <w:r w:rsidR="003F718E">
        <w:rPr>
          <w:rFonts w:ascii="Cambria" w:hAnsi="Cambria" w:cs="DIN Pro Regular"/>
          <w:sz w:val="20"/>
          <w:lang w:eastAsia="es-MX"/>
        </w:rPr>
        <w:t xml:space="preserve"> Management México, S.A. de C.V.</w:t>
      </w:r>
      <w:r w:rsidR="00C01B40" w:rsidRPr="003D17BF">
        <w:rPr>
          <w:rFonts w:ascii="Cambria" w:hAnsi="Cambria" w:cs="DIN Pro Regular"/>
          <w:sz w:val="20"/>
          <w:lang w:eastAsia="es-MX"/>
        </w:rPr>
        <w:t xml:space="preserve"> </w:t>
      </w:r>
      <w:r w:rsidRPr="003D17BF">
        <w:rPr>
          <w:rFonts w:ascii="Cambria" w:hAnsi="Cambria" w:cs="DIN Pro Regular"/>
          <w:sz w:val="20"/>
          <w:lang w:eastAsia="es-MX"/>
        </w:rPr>
        <w:t>Así como bienes bajo contrato en comodato de terminales punto de venta (TPV) por un importe de $37 pesos.</w:t>
      </w:r>
    </w:p>
    <w:p w14:paraId="399CD300" w14:textId="34A26D55" w:rsidR="00183F52" w:rsidRDefault="00183F52" w:rsidP="00183F52">
      <w:pPr>
        <w:pStyle w:val="Texto"/>
        <w:spacing w:after="0" w:line="240" w:lineRule="exact"/>
        <w:ind w:firstLine="0"/>
        <w:rPr>
          <w:rFonts w:ascii="Cambria" w:hAnsi="Cambria" w:cs="DIN Pro Regular"/>
          <w:sz w:val="20"/>
          <w:highlight w:val="yellow"/>
        </w:rPr>
      </w:pPr>
    </w:p>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1C4F7073" w:rsidR="00670E42" w:rsidRDefault="00670E42" w:rsidP="00183F52">
      <w:pPr>
        <w:pStyle w:val="Texto"/>
        <w:shd w:val="clear" w:color="auto" w:fill="FFFFFF"/>
        <w:spacing w:after="0" w:line="240" w:lineRule="exact"/>
        <w:ind w:firstLine="708"/>
        <w:rPr>
          <w:rFonts w:ascii="Cambria" w:hAnsi="Cambria" w:cs="DIN Pro Regular"/>
          <w:sz w:val="20"/>
        </w:rPr>
      </w:pPr>
    </w:p>
    <w:p w14:paraId="549FFFE0" w14:textId="07000FF1"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6A379B" w:rsidRPr="00E020BE" w14:paraId="0BE985D0" w14:textId="77777777" w:rsidTr="006A379B">
        <w:trPr>
          <w:trHeight w:val="300"/>
          <w:jc w:val="center"/>
        </w:trPr>
        <w:tc>
          <w:tcPr>
            <w:tcW w:w="5219" w:type="dxa"/>
            <w:gridSpan w:val="3"/>
            <w:shd w:val="clear" w:color="auto" w:fill="00426A"/>
            <w:vAlign w:val="center"/>
          </w:tcPr>
          <w:p w14:paraId="7E43D905" w14:textId="3B4919C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6A379B" w:rsidRPr="00E020BE" w14:paraId="236A655D" w14:textId="77777777" w:rsidTr="003C5AD3">
        <w:trPr>
          <w:trHeight w:val="300"/>
          <w:jc w:val="center"/>
        </w:trPr>
        <w:tc>
          <w:tcPr>
            <w:tcW w:w="852" w:type="dxa"/>
            <w:shd w:val="clear" w:color="auto" w:fill="00426A"/>
          </w:tcPr>
          <w:p w14:paraId="1962D35C" w14:textId="7777777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tcPr>
          <w:p w14:paraId="7F53277E" w14:textId="51C0CC5E"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00426A"/>
            <w:noWrap/>
            <w:vAlign w:val="center"/>
          </w:tcPr>
          <w:p w14:paraId="341EFA05" w14:textId="0C2A5E09" w:rsidR="006A379B"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3C5AD3">
        <w:trPr>
          <w:trHeight w:val="315"/>
          <w:jc w:val="center"/>
        </w:trPr>
        <w:tc>
          <w:tcPr>
            <w:tcW w:w="852" w:type="dxa"/>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shd w:val="clear" w:color="auto" w:fill="auto"/>
            <w:noWrap/>
            <w:vAlign w:val="center"/>
            <w:hideMark/>
          </w:tcPr>
          <w:p w14:paraId="792446FE" w14:textId="5FD62106" w:rsidR="00A81AA0" w:rsidRPr="00E020BE" w:rsidRDefault="00481236"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BE0B27">
              <w:rPr>
                <w:rFonts w:ascii="Cambria" w:eastAsia="Times New Roman" w:hAnsi="Cambria" w:cs="DIN Pro Regular"/>
                <w:color w:val="000000"/>
                <w:sz w:val="16"/>
                <w:szCs w:val="16"/>
                <w:lang w:eastAsia="es-MX"/>
              </w:rPr>
              <w:t>923</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860</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927</w:t>
            </w:r>
          </w:p>
        </w:tc>
      </w:tr>
      <w:tr w:rsidR="004D4670" w:rsidRPr="00E020BE" w14:paraId="4D0CE97C" w14:textId="77777777" w:rsidTr="003C5AD3">
        <w:trPr>
          <w:trHeight w:val="315"/>
          <w:jc w:val="center"/>
        </w:trPr>
        <w:tc>
          <w:tcPr>
            <w:tcW w:w="852" w:type="dxa"/>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A781D67" w14:textId="03795B1B" w:rsidR="004D4670" w:rsidRPr="00E020BE" w:rsidRDefault="00AA39D8"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0</w:t>
            </w:r>
          </w:p>
        </w:tc>
      </w:tr>
      <w:tr w:rsidR="00A81AA0" w:rsidRPr="00E020BE" w14:paraId="5B249024" w14:textId="77777777" w:rsidTr="003C5AD3">
        <w:trPr>
          <w:trHeight w:val="315"/>
          <w:jc w:val="center"/>
        </w:trPr>
        <w:tc>
          <w:tcPr>
            <w:tcW w:w="852" w:type="dxa"/>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shd w:val="clear" w:color="auto" w:fill="auto"/>
            <w:noWrap/>
            <w:vAlign w:val="center"/>
            <w:hideMark/>
          </w:tcPr>
          <w:p w14:paraId="135C6893" w14:textId="25FC2DC5" w:rsidR="00A81AA0" w:rsidRPr="00E020BE" w:rsidRDefault="00AA39D8"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-234,</w:t>
            </w:r>
            <w:r w:rsidR="003A6F8A">
              <w:rPr>
                <w:rFonts w:ascii="Cambria" w:eastAsia="Times New Roman" w:hAnsi="Cambria" w:cs="DIN Pro Regular"/>
                <w:color w:val="000000"/>
                <w:sz w:val="16"/>
                <w:szCs w:val="16"/>
                <w:lang w:eastAsia="es-MX"/>
              </w:rPr>
              <w:t>655</w:t>
            </w:r>
            <w:r>
              <w:rPr>
                <w:rFonts w:ascii="Cambria" w:eastAsia="Times New Roman" w:hAnsi="Cambria" w:cs="DIN Pro Regular"/>
                <w:color w:val="000000"/>
                <w:sz w:val="16"/>
                <w:szCs w:val="16"/>
                <w:lang w:eastAsia="es-MX"/>
              </w:rPr>
              <w:t>,717</w:t>
            </w:r>
          </w:p>
        </w:tc>
      </w:tr>
      <w:tr w:rsidR="00A81AA0" w:rsidRPr="00E020BE" w14:paraId="575A05E2" w14:textId="77777777" w:rsidTr="003C5AD3">
        <w:trPr>
          <w:trHeight w:val="315"/>
          <w:jc w:val="center"/>
        </w:trPr>
        <w:tc>
          <w:tcPr>
            <w:tcW w:w="852" w:type="dxa"/>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shd w:val="clear" w:color="auto" w:fill="auto"/>
            <w:noWrap/>
            <w:vAlign w:val="center"/>
            <w:hideMark/>
          </w:tcPr>
          <w:p w14:paraId="23ADA32F" w14:textId="7549B40E" w:rsidR="00A81AA0" w:rsidRPr="00E020BE" w:rsidRDefault="00AA39D8"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549,900</w:t>
            </w:r>
          </w:p>
        </w:tc>
      </w:tr>
      <w:tr w:rsidR="00A81AA0" w:rsidRPr="00E020BE" w14:paraId="20F87B8F" w14:textId="77777777" w:rsidTr="003C5AD3">
        <w:trPr>
          <w:trHeight w:val="315"/>
          <w:jc w:val="center"/>
        </w:trPr>
        <w:tc>
          <w:tcPr>
            <w:tcW w:w="852" w:type="dxa"/>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shd w:val="clear" w:color="auto" w:fill="auto"/>
            <w:noWrap/>
            <w:vAlign w:val="center"/>
            <w:hideMark/>
          </w:tcPr>
          <w:p w14:paraId="32E89DBF" w14:textId="6BF40726" w:rsidR="00A81AA0" w:rsidRPr="00E020BE" w:rsidRDefault="00AA39D8"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4,688,655,310</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5117540B"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6A379B" w:rsidRPr="00E020BE" w14:paraId="7A13D30A" w14:textId="77777777" w:rsidTr="006A379B">
        <w:trPr>
          <w:trHeight w:val="315"/>
          <w:jc w:val="center"/>
        </w:trPr>
        <w:tc>
          <w:tcPr>
            <w:tcW w:w="5236" w:type="dxa"/>
            <w:gridSpan w:val="3"/>
            <w:shd w:val="clear" w:color="auto" w:fill="00426A"/>
            <w:vAlign w:val="center"/>
          </w:tcPr>
          <w:p w14:paraId="552B52C9" w14:textId="1964F4FD"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6A379B" w:rsidRPr="00E020BE" w14:paraId="3AAE8E9B" w14:textId="77777777" w:rsidTr="003C5AD3">
        <w:trPr>
          <w:trHeight w:val="315"/>
          <w:jc w:val="center"/>
        </w:trPr>
        <w:tc>
          <w:tcPr>
            <w:tcW w:w="863" w:type="dxa"/>
            <w:shd w:val="clear" w:color="auto" w:fill="00426A"/>
          </w:tcPr>
          <w:p w14:paraId="200A2694" w14:textId="77777777"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tcPr>
          <w:p w14:paraId="4076B60F" w14:textId="65439D55"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00426A"/>
            <w:vAlign w:val="center"/>
          </w:tcPr>
          <w:p w14:paraId="2533436E" w14:textId="1761C08E" w:rsidR="006A379B"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3C5AD3">
        <w:trPr>
          <w:trHeight w:val="315"/>
          <w:jc w:val="center"/>
        </w:trPr>
        <w:tc>
          <w:tcPr>
            <w:tcW w:w="863" w:type="dxa"/>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7FC25023" w14:textId="6C9B2888" w:rsidR="001B20FC" w:rsidRPr="00E020BE" w:rsidRDefault="00195170"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4,923,860,927</w:t>
            </w:r>
          </w:p>
        </w:tc>
      </w:tr>
      <w:tr w:rsidR="004D4670" w:rsidRPr="00E020BE" w14:paraId="593783DE" w14:textId="77777777" w:rsidTr="003C5AD3">
        <w:trPr>
          <w:trHeight w:val="315"/>
          <w:jc w:val="center"/>
        </w:trPr>
        <w:tc>
          <w:tcPr>
            <w:tcW w:w="863" w:type="dxa"/>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3F73D176" w14:textId="152B3553" w:rsidR="004D4670" w:rsidRPr="00E020BE" w:rsidRDefault="00A84197"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0</w:t>
            </w:r>
          </w:p>
        </w:tc>
      </w:tr>
      <w:tr w:rsidR="001B20FC" w:rsidRPr="00E020BE" w14:paraId="75B0739C" w14:textId="77777777" w:rsidTr="003C5AD3">
        <w:trPr>
          <w:trHeight w:val="315"/>
          <w:jc w:val="center"/>
        </w:trPr>
        <w:tc>
          <w:tcPr>
            <w:tcW w:w="863" w:type="dxa"/>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4F2FBE9D" w14:textId="07D8A804" w:rsidR="001B20FC" w:rsidRPr="00E020BE" w:rsidRDefault="00A8419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-134,</w:t>
            </w:r>
            <w:r w:rsidR="003A6F8A">
              <w:rPr>
                <w:rFonts w:ascii="Cambria" w:eastAsia="Times New Roman" w:hAnsi="Cambria" w:cs="DIN Pro Regular"/>
                <w:color w:val="000000"/>
                <w:sz w:val="16"/>
                <w:szCs w:val="16"/>
                <w:lang w:eastAsia="es-MX"/>
              </w:rPr>
              <w:t>495</w:t>
            </w:r>
            <w:r>
              <w:rPr>
                <w:rFonts w:ascii="Cambria" w:eastAsia="Times New Roman" w:hAnsi="Cambria" w:cs="DIN Pro Regular"/>
                <w:color w:val="000000"/>
                <w:sz w:val="16"/>
                <w:szCs w:val="16"/>
                <w:lang w:eastAsia="es-MX"/>
              </w:rPr>
              <w:t>,</w:t>
            </w:r>
            <w:r w:rsidR="003A6F8A">
              <w:rPr>
                <w:rFonts w:ascii="Cambria" w:eastAsia="Times New Roman" w:hAnsi="Cambria" w:cs="DIN Pro Regular"/>
                <w:color w:val="000000"/>
                <w:sz w:val="16"/>
                <w:szCs w:val="16"/>
                <w:lang w:eastAsia="es-MX"/>
              </w:rPr>
              <w:t>191</w:t>
            </w:r>
          </w:p>
        </w:tc>
      </w:tr>
      <w:tr w:rsidR="004D4670" w:rsidRPr="00E020BE" w14:paraId="28BF2B0C" w14:textId="77777777" w:rsidTr="003C5AD3">
        <w:trPr>
          <w:trHeight w:val="315"/>
          <w:jc w:val="center"/>
        </w:trPr>
        <w:tc>
          <w:tcPr>
            <w:tcW w:w="863" w:type="dxa"/>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AE25AB9" w14:textId="1F97DBDC" w:rsidR="004D4670" w:rsidRPr="00E020BE" w:rsidRDefault="00A8419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69,</w:t>
            </w:r>
            <w:r w:rsidR="003A6F8A">
              <w:rPr>
                <w:rFonts w:ascii="Cambria" w:eastAsia="Times New Roman" w:hAnsi="Cambria" w:cs="DIN Pro Regular"/>
                <w:color w:val="000000"/>
                <w:sz w:val="16"/>
                <w:szCs w:val="16"/>
                <w:lang w:eastAsia="es-MX"/>
              </w:rPr>
              <w:t>738</w:t>
            </w:r>
            <w:r>
              <w:rPr>
                <w:rFonts w:ascii="Cambria" w:eastAsia="Times New Roman" w:hAnsi="Cambria" w:cs="DIN Pro Regular"/>
                <w:color w:val="000000"/>
                <w:sz w:val="16"/>
                <w:szCs w:val="16"/>
                <w:lang w:eastAsia="es-MX"/>
              </w:rPr>
              <w:t>,</w:t>
            </w:r>
            <w:r w:rsidR="003A6F8A">
              <w:rPr>
                <w:rFonts w:ascii="Cambria" w:eastAsia="Times New Roman" w:hAnsi="Cambria" w:cs="DIN Pro Regular"/>
                <w:color w:val="000000"/>
                <w:sz w:val="16"/>
                <w:szCs w:val="16"/>
                <w:lang w:eastAsia="es-MX"/>
              </w:rPr>
              <w:t>381</w:t>
            </w:r>
          </w:p>
        </w:tc>
      </w:tr>
      <w:tr w:rsidR="004D4670" w:rsidRPr="00E020BE" w14:paraId="6E4B8071" w14:textId="77777777" w:rsidTr="003C5AD3">
        <w:trPr>
          <w:trHeight w:val="315"/>
          <w:jc w:val="center"/>
        </w:trPr>
        <w:tc>
          <w:tcPr>
            <w:tcW w:w="863" w:type="dxa"/>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52B0429" w14:textId="40B1C17E" w:rsidR="004D4670" w:rsidRPr="00E020BE" w:rsidRDefault="00A8419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4,189,673</w:t>
            </w:r>
          </w:p>
        </w:tc>
      </w:tr>
      <w:tr w:rsidR="004D4670" w:rsidRPr="00E020BE" w14:paraId="1EB965D7" w14:textId="77777777" w:rsidTr="003C5AD3">
        <w:trPr>
          <w:trHeight w:val="315"/>
          <w:jc w:val="center"/>
        </w:trPr>
        <w:tc>
          <w:tcPr>
            <w:tcW w:w="863" w:type="dxa"/>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3A6A6535" w14:textId="339FD802" w:rsidR="004D4670" w:rsidRPr="00E020BE" w:rsidRDefault="00A8419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0</w:t>
            </w:r>
          </w:p>
        </w:tc>
      </w:tr>
      <w:tr w:rsidR="004D4670" w:rsidRPr="00E020BE" w14:paraId="2BCD8E40" w14:textId="77777777" w:rsidTr="003C5AD3">
        <w:trPr>
          <w:trHeight w:val="315"/>
          <w:jc w:val="center"/>
        </w:trPr>
        <w:tc>
          <w:tcPr>
            <w:tcW w:w="863" w:type="dxa"/>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3D60208D" w14:textId="664A849E" w:rsidR="004D4670" w:rsidRPr="00E020BE" w:rsidRDefault="00A8419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4,715,437,681</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07C4AAD" w14:textId="77777777" w:rsidR="00CF09E8" w:rsidRDefault="00CF09E8"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50B9DAD9" w14:textId="77777777" w:rsidR="0075136F" w:rsidRDefault="0075136F" w:rsidP="007F2682">
      <w:pPr>
        <w:ind w:firstLine="426"/>
        <w:contextualSpacing/>
        <w:jc w:val="both"/>
        <w:rPr>
          <w:rFonts w:ascii="Cambria" w:hAnsi="Cambria"/>
          <w:b/>
          <w:bCs/>
          <w:sz w:val="20"/>
          <w:szCs w:val="20"/>
        </w:rPr>
      </w:pPr>
      <w:r w:rsidRPr="00F717D9">
        <w:rPr>
          <w:rFonts w:ascii="Cambria" w:hAnsi="Cambria"/>
          <w:b/>
          <w:bCs/>
          <w:sz w:val="20"/>
          <w:szCs w:val="20"/>
        </w:rPr>
        <w:t>PRESUPUESTO DE INGRESOS</w:t>
      </w:r>
    </w:p>
    <w:p w14:paraId="63601D3F" w14:textId="52B0BD62" w:rsidR="00252E12" w:rsidRPr="00252E12" w:rsidRDefault="00252E12" w:rsidP="00252E12">
      <w:pPr>
        <w:spacing w:after="0" w:line="240" w:lineRule="auto"/>
        <w:ind w:left="426"/>
        <w:jc w:val="both"/>
        <w:rPr>
          <w:rFonts w:ascii="Cambria" w:hAnsi="Cambria"/>
          <w:sz w:val="20"/>
          <w:szCs w:val="20"/>
        </w:rPr>
      </w:pPr>
      <w:r w:rsidRPr="00252E12">
        <w:rPr>
          <w:rFonts w:ascii="Cambria" w:hAnsi="Cambria"/>
          <w:sz w:val="20"/>
          <w:szCs w:val="20"/>
        </w:rPr>
        <w:t>La Universidad Autónoma de Tamaulipas para el ejercicio 2023 autorizó un Presupuesto de Ingresos de $4,923,860,927.00 pesos, el cual ha sufrido modificaciones por</w:t>
      </w:r>
      <w:r w:rsidR="002655C8">
        <w:rPr>
          <w:rFonts w:ascii="Cambria" w:hAnsi="Cambria"/>
          <w:sz w:val="20"/>
          <w:szCs w:val="20"/>
        </w:rPr>
        <w:t xml:space="preserve"> </w:t>
      </w:r>
      <w:r w:rsidRPr="00252E12">
        <w:rPr>
          <w:rFonts w:ascii="Cambria" w:hAnsi="Cambria"/>
          <w:sz w:val="20"/>
          <w:szCs w:val="20"/>
        </w:rPr>
        <w:t>$-234,655,717.00 pesos, llegando a un presupuesto modificado de $4,689,205,210.00 pesos.</w:t>
      </w:r>
    </w:p>
    <w:p w14:paraId="794EEB1A" w14:textId="77777777" w:rsidR="00252E12" w:rsidRPr="00252E12" w:rsidRDefault="00252E12" w:rsidP="00252E12">
      <w:pPr>
        <w:spacing w:after="0" w:line="240" w:lineRule="auto"/>
        <w:ind w:left="426"/>
        <w:jc w:val="both"/>
        <w:rPr>
          <w:rFonts w:ascii="Cambria" w:hAnsi="Cambria"/>
          <w:sz w:val="20"/>
          <w:szCs w:val="20"/>
        </w:rPr>
      </w:pPr>
    </w:p>
    <w:p w14:paraId="639E2FE4" w14:textId="77777777" w:rsidR="00252E12" w:rsidRPr="00252E12" w:rsidRDefault="00252E12" w:rsidP="00252E12">
      <w:pPr>
        <w:spacing w:after="0" w:line="240" w:lineRule="auto"/>
        <w:ind w:left="426"/>
        <w:jc w:val="both"/>
        <w:rPr>
          <w:rFonts w:ascii="Cambria" w:hAnsi="Cambria"/>
          <w:noProof/>
        </w:rPr>
      </w:pPr>
      <w:r w:rsidRPr="00252E12">
        <w:rPr>
          <w:rFonts w:ascii="Cambria" w:hAnsi="Cambria"/>
          <w:sz w:val="20"/>
          <w:szCs w:val="20"/>
        </w:rPr>
        <w:t xml:space="preserve">Las modificaciones presupuestales de Ingresos al 31 de </w:t>
      </w:r>
      <w:proofErr w:type="gramStart"/>
      <w:r w:rsidRPr="00252E12">
        <w:rPr>
          <w:rFonts w:ascii="Cambria" w:hAnsi="Cambria"/>
          <w:sz w:val="20"/>
          <w:szCs w:val="20"/>
        </w:rPr>
        <w:t>Diciembre</w:t>
      </w:r>
      <w:proofErr w:type="gramEnd"/>
      <w:r w:rsidRPr="00252E12">
        <w:rPr>
          <w:rFonts w:ascii="Cambria" w:hAnsi="Cambria"/>
          <w:sz w:val="20"/>
          <w:szCs w:val="20"/>
        </w:rPr>
        <w:t xml:space="preserve"> de 2023 ascienden a $-234,655,717.00 pesos que corresponden a:</w:t>
      </w:r>
    </w:p>
    <w:p w14:paraId="46A029F3" w14:textId="77777777" w:rsidR="00252E12" w:rsidRDefault="00252E12" w:rsidP="00252E12">
      <w:pPr>
        <w:spacing w:after="0"/>
        <w:ind w:left="426"/>
        <w:jc w:val="center"/>
        <w:rPr>
          <w:noProof/>
        </w:rPr>
      </w:pPr>
      <w:r w:rsidRPr="00145024">
        <w:rPr>
          <w:noProof/>
        </w:rPr>
        <w:drawing>
          <wp:inline distT="0" distB="0" distL="0" distR="0" wp14:anchorId="72CB89C4" wp14:editId="057119B2">
            <wp:extent cx="5574182" cy="2316621"/>
            <wp:effectExtent l="0" t="0" r="7620" b="7620"/>
            <wp:docPr id="8420646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5187" cy="2325351"/>
                    </a:xfrm>
                    <a:prstGeom prst="rect">
                      <a:avLst/>
                    </a:prstGeom>
                    <a:noFill/>
                    <a:ln>
                      <a:noFill/>
                    </a:ln>
                  </pic:spPr>
                </pic:pic>
              </a:graphicData>
            </a:graphic>
          </wp:inline>
        </w:drawing>
      </w:r>
    </w:p>
    <w:p w14:paraId="09762D3E" w14:textId="77777777" w:rsidR="00252E12" w:rsidRDefault="00252E12" w:rsidP="00252E12">
      <w:pPr>
        <w:spacing w:after="0"/>
        <w:ind w:left="426"/>
        <w:jc w:val="both"/>
        <w:rPr>
          <w:rFonts w:asciiTheme="majorHAnsi" w:hAnsiTheme="majorHAnsi"/>
          <w:sz w:val="20"/>
          <w:szCs w:val="20"/>
        </w:rPr>
      </w:pPr>
    </w:p>
    <w:p w14:paraId="15B24E76" w14:textId="77777777" w:rsidR="00252E12" w:rsidRPr="00F717D9" w:rsidRDefault="00252E12" w:rsidP="00252E12">
      <w:pPr>
        <w:numPr>
          <w:ilvl w:val="0"/>
          <w:numId w:val="22"/>
        </w:numPr>
        <w:spacing w:line="240" w:lineRule="auto"/>
        <w:jc w:val="both"/>
        <w:rPr>
          <w:rFonts w:ascii="Cambria" w:hAnsi="Cambria"/>
          <w:sz w:val="20"/>
          <w:szCs w:val="20"/>
          <w:lang w:val="es-ES"/>
        </w:rPr>
      </w:pPr>
      <w:r>
        <w:rPr>
          <w:rFonts w:ascii="Cambria" w:hAnsi="Cambria"/>
          <w:sz w:val="20"/>
          <w:szCs w:val="20"/>
          <w:lang w:val="es-ES"/>
        </w:rPr>
        <w:t xml:space="preserve">Recurso </w:t>
      </w:r>
      <w:r w:rsidRPr="00F717D9">
        <w:rPr>
          <w:rFonts w:ascii="Cambria" w:hAnsi="Cambria"/>
          <w:sz w:val="20"/>
          <w:szCs w:val="20"/>
          <w:lang w:val="es-ES"/>
        </w:rPr>
        <w:t>Federal</w:t>
      </w:r>
      <w:r>
        <w:rPr>
          <w:rFonts w:ascii="Cambria" w:hAnsi="Cambria"/>
          <w:sz w:val="20"/>
          <w:szCs w:val="20"/>
          <w:lang w:val="es-ES"/>
        </w:rPr>
        <w:t>:</w:t>
      </w:r>
      <w:r w:rsidRPr="00F717D9">
        <w:rPr>
          <w:rFonts w:ascii="Cambria" w:hAnsi="Cambria"/>
          <w:sz w:val="20"/>
          <w:szCs w:val="20"/>
          <w:lang w:val="es-ES"/>
        </w:rPr>
        <w:t xml:space="preserve"> incremento por</w:t>
      </w:r>
      <w:r>
        <w:rPr>
          <w:rFonts w:ascii="Cambria" w:hAnsi="Cambria"/>
          <w:sz w:val="20"/>
          <w:szCs w:val="20"/>
          <w:lang w:val="es-ES"/>
        </w:rPr>
        <w:t xml:space="preserve"> el reconocimiento de los</w:t>
      </w:r>
      <w:r w:rsidRPr="00F717D9">
        <w:rPr>
          <w:rFonts w:ascii="Cambria" w:hAnsi="Cambria"/>
          <w:sz w:val="20"/>
          <w:szCs w:val="20"/>
          <w:lang w:val="es-ES"/>
        </w:rPr>
        <w:t xml:space="preserve"> intereses generados al </w:t>
      </w:r>
      <w:r>
        <w:rPr>
          <w:rFonts w:ascii="Cambria" w:hAnsi="Cambria"/>
          <w:sz w:val="20"/>
          <w:szCs w:val="20"/>
          <w:lang w:val="es-ES"/>
        </w:rPr>
        <w:t>cuarto</w:t>
      </w:r>
      <w:r w:rsidRPr="00F717D9">
        <w:rPr>
          <w:rFonts w:ascii="Cambria" w:hAnsi="Cambria"/>
          <w:sz w:val="20"/>
          <w:szCs w:val="20"/>
          <w:lang w:val="es-ES"/>
        </w:rPr>
        <w:t xml:space="preserve"> trimestre </w:t>
      </w:r>
      <w:r>
        <w:rPr>
          <w:rFonts w:ascii="Cambria" w:hAnsi="Cambria"/>
          <w:sz w:val="20"/>
          <w:szCs w:val="20"/>
          <w:lang w:val="es-ES"/>
        </w:rPr>
        <w:t xml:space="preserve">del </w:t>
      </w:r>
      <w:r w:rsidRPr="00F717D9">
        <w:rPr>
          <w:rFonts w:ascii="Cambria" w:hAnsi="Cambria"/>
          <w:sz w:val="20"/>
          <w:szCs w:val="20"/>
          <w:lang w:val="es-ES"/>
        </w:rPr>
        <w:t>Programa U006 Subsidio Para Organismos Descentralizados Estatales por $</w:t>
      </w:r>
      <w:r>
        <w:rPr>
          <w:rFonts w:ascii="Cambria" w:hAnsi="Cambria"/>
          <w:sz w:val="20"/>
          <w:szCs w:val="20"/>
          <w:lang w:val="es-ES"/>
        </w:rPr>
        <w:t>2,332,526.00 pesos correspondientes al Ejercicio 2023 y</w:t>
      </w:r>
      <w:r w:rsidRPr="00F717D9">
        <w:rPr>
          <w:rFonts w:ascii="Cambria" w:hAnsi="Cambria"/>
          <w:sz w:val="20"/>
          <w:szCs w:val="20"/>
          <w:lang w:val="es-ES"/>
        </w:rPr>
        <w:t xml:space="preserve"> $</w:t>
      </w:r>
      <w:r>
        <w:rPr>
          <w:rFonts w:ascii="Cambria" w:hAnsi="Cambria"/>
          <w:sz w:val="20"/>
          <w:szCs w:val="20"/>
          <w:lang w:val="es-ES"/>
        </w:rPr>
        <w:t>149,821</w:t>
      </w:r>
      <w:r w:rsidRPr="00F717D9">
        <w:rPr>
          <w:rFonts w:ascii="Cambria" w:hAnsi="Cambria"/>
          <w:sz w:val="20"/>
          <w:szCs w:val="20"/>
          <w:lang w:val="es-ES"/>
        </w:rPr>
        <w:t>.00</w:t>
      </w:r>
      <w:r>
        <w:rPr>
          <w:rFonts w:ascii="Cambria" w:hAnsi="Cambria"/>
          <w:sz w:val="20"/>
          <w:szCs w:val="20"/>
          <w:lang w:val="es-ES"/>
        </w:rPr>
        <w:t xml:space="preserve"> pesos correspondientes al Ejercicio 2022 y la aportación correspondiente al Segundo Anexo de Ejecución por $75,287,034.00 pesos.</w:t>
      </w:r>
    </w:p>
    <w:p w14:paraId="7478BB6A" w14:textId="77777777" w:rsidR="00252E12" w:rsidRDefault="00252E12" w:rsidP="00252E12">
      <w:pPr>
        <w:numPr>
          <w:ilvl w:val="0"/>
          <w:numId w:val="22"/>
        </w:numPr>
        <w:spacing w:line="240" w:lineRule="auto"/>
        <w:jc w:val="both"/>
        <w:rPr>
          <w:rFonts w:ascii="Cambria" w:hAnsi="Cambria"/>
          <w:sz w:val="20"/>
          <w:szCs w:val="20"/>
          <w:lang w:val="es-ES"/>
        </w:rPr>
      </w:pPr>
      <w:r w:rsidRPr="004C74BE">
        <w:rPr>
          <w:rFonts w:ascii="Cambria" w:hAnsi="Cambria"/>
          <w:sz w:val="20"/>
          <w:szCs w:val="20"/>
          <w:lang w:val="es-ES"/>
        </w:rPr>
        <w:t>Recurso Estatal: incremento por intereses generados al cuarto trimestre por $5,707,2</w:t>
      </w:r>
      <w:r>
        <w:rPr>
          <w:rFonts w:ascii="Cambria" w:hAnsi="Cambria"/>
          <w:sz w:val="20"/>
          <w:szCs w:val="20"/>
          <w:lang w:val="es-ES"/>
        </w:rPr>
        <w:t>54</w:t>
      </w:r>
      <w:r w:rsidRPr="004C74BE">
        <w:rPr>
          <w:rFonts w:ascii="Cambria" w:hAnsi="Cambria"/>
          <w:sz w:val="20"/>
          <w:szCs w:val="20"/>
          <w:lang w:val="es-ES"/>
        </w:rPr>
        <w:t xml:space="preserve">.00 pesos, </w:t>
      </w:r>
      <w:r>
        <w:rPr>
          <w:rFonts w:ascii="Cambria" w:hAnsi="Cambria"/>
          <w:sz w:val="20"/>
          <w:szCs w:val="20"/>
          <w:lang w:val="es-ES"/>
        </w:rPr>
        <w:t>incremento por</w:t>
      </w:r>
      <w:r w:rsidRPr="004C74BE">
        <w:rPr>
          <w:rFonts w:ascii="Cambria" w:hAnsi="Cambria"/>
          <w:sz w:val="20"/>
          <w:szCs w:val="20"/>
          <w:lang w:val="es-ES"/>
        </w:rPr>
        <w:t xml:space="preserve"> aportación </w:t>
      </w:r>
      <w:r>
        <w:rPr>
          <w:rFonts w:ascii="Cambria" w:hAnsi="Cambria"/>
          <w:sz w:val="20"/>
          <w:szCs w:val="20"/>
          <w:lang w:val="es-ES"/>
        </w:rPr>
        <w:t xml:space="preserve">estatal </w:t>
      </w:r>
      <w:r w:rsidRPr="004C74BE">
        <w:rPr>
          <w:rFonts w:ascii="Cambria" w:hAnsi="Cambria"/>
          <w:sz w:val="20"/>
          <w:szCs w:val="20"/>
          <w:lang w:val="es-ES"/>
        </w:rPr>
        <w:t>correspondiente al Segundo Anexo de Ejecución por $52,961,190.00 pesos</w:t>
      </w:r>
      <w:r>
        <w:rPr>
          <w:rFonts w:ascii="Cambria" w:hAnsi="Cambria"/>
          <w:sz w:val="20"/>
          <w:szCs w:val="20"/>
          <w:lang w:val="es-ES"/>
        </w:rPr>
        <w:t>,</w:t>
      </w:r>
      <w:r w:rsidRPr="004C74BE">
        <w:rPr>
          <w:rFonts w:ascii="Cambria" w:hAnsi="Cambria"/>
          <w:sz w:val="20"/>
          <w:szCs w:val="20"/>
          <w:lang w:val="es-ES"/>
        </w:rPr>
        <w:t xml:space="preserve"> una reducción presupuestal por ACUERDO mediante el cual la Secretaría de Finanzas del Gobierno del Estado de Tamaulipas, en términos del artículo 64 bis, fracción II de la Ley de Gasto Público, determina el ajuste al Presupuesto de Egresos del Estado, respecto a las aportaciones que comprenden al Estado de Tamaulipas previstas en el Anexo de Ejecución al Convenio Marco de Colaboración para el apoyo financiero de fecha 13 de enero de 2016, suscrito el 2 de enero de 2023 por </w:t>
      </w:r>
      <w:r>
        <w:rPr>
          <w:rFonts w:ascii="Cambria" w:hAnsi="Cambria"/>
          <w:sz w:val="20"/>
          <w:szCs w:val="20"/>
          <w:lang w:val="es-ES"/>
        </w:rPr>
        <w:t>545,307,791</w:t>
      </w:r>
      <w:r w:rsidRPr="004C74BE">
        <w:rPr>
          <w:rFonts w:ascii="Cambria" w:hAnsi="Cambria"/>
          <w:sz w:val="20"/>
          <w:szCs w:val="20"/>
          <w:lang w:val="es-ES"/>
        </w:rPr>
        <w:t xml:space="preserve">.00 pesos y una ampliación final en el mes de diciembre por </w:t>
      </w:r>
      <w:r>
        <w:rPr>
          <w:rFonts w:ascii="Cambria" w:hAnsi="Cambria"/>
          <w:sz w:val="20"/>
          <w:szCs w:val="20"/>
          <w:lang w:val="es-ES"/>
        </w:rPr>
        <w:t>27,683,563.00 pesos para cubrir compromisos laborales.</w:t>
      </w:r>
      <w:r w:rsidRPr="004C74BE">
        <w:rPr>
          <w:rFonts w:ascii="Cambria" w:hAnsi="Cambria"/>
          <w:sz w:val="20"/>
          <w:szCs w:val="20"/>
          <w:lang w:val="es-ES"/>
        </w:rPr>
        <w:t xml:space="preserve"> </w:t>
      </w:r>
    </w:p>
    <w:p w14:paraId="56BAB456" w14:textId="77777777" w:rsidR="00252E12" w:rsidRPr="004C74BE" w:rsidRDefault="00252E12" w:rsidP="00252E12">
      <w:pPr>
        <w:numPr>
          <w:ilvl w:val="0"/>
          <w:numId w:val="22"/>
        </w:numPr>
        <w:spacing w:line="240" w:lineRule="auto"/>
        <w:jc w:val="both"/>
        <w:rPr>
          <w:rFonts w:ascii="Cambria" w:hAnsi="Cambria"/>
          <w:sz w:val="20"/>
          <w:szCs w:val="20"/>
          <w:lang w:val="es-ES"/>
        </w:rPr>
      </w:pPr>
      <w:r w:rsidRPr="004C74BE">
        <w:rPr>
          <w:rFonts w:ascii="Cambria" w:hAnsi="Cambria"/>
          <w:sz w:val="20"/>
          <w:szCs w:val="20"/>
          <w:lang w:val="es-ES"/>
        </w:rPr>
        <w:t>Fondo de Aportaciones Múltiples, se reduce el importe de $9,491,720.00 para ajustar el importe autorizado por Asamblea en el Presupuesto de Ingresos para el Ejercicio 2023 y el notificado por la SEP mediante oficio Núm. 511/2023-0913-60 de fecha 17 de Febrero de 2023 para atender necesidades de Infraestructura Física en su componente de Educación Superior, por un importe de $25,378,125.00, además de un incremento por aportación del Fondo de Aportaciones Múltiples del Componente Media Superior por $</w:t>
      </w:r>
      <w:r>
        <w:rPr>
          <w:rFonts w:ascii="Cambria" w:hAnsi="Cambria"/>
          <w:sz w:val="20"/>
          <w:szCs w:val="20"/>
          <w:lang w:val="es-ES"/>
        </w:rPr>
        <w:t>401,305</w:t>
      </w:r>
      <w:r w:rsidRPr="004C74BE">
        <w:rPr>
          <w:rFonts w:ascii="Cambria" w:hAnsi="Cambria"/>
          <w:sz w:val="20"/>
          <w:szCs w:val="20"/>
          <w:lang w:val="es-ES"/>
        </w:rPr>
        <w:t xml:space="preserve">.00 pesos y un incremento por intereses generados al </w:t>
      </w:r>
      <w:r>
        <w:rPr>
          <w:rFonts w:ascii="Cambria" w:hAnsi="Cambria"/>
          <w:sz w:val="20"/>
          <w:szCs w:val="20"/>
          <w:lang w:val="es-ES"/>
        </w:rPr>
        <w:t>cuarto</w:t>
      </w:r>
      <w:r w:rsidRPr="004C74BE">
        <w:rPr>
          <w:rFonts w:ascii="Cambria" w:hAnsi="Cambria"/>
          <w:sz w:val="20"/>
          <w:szCs w:val="20"/>
          <w:lang w:val="es-ES"/>
        </w:rPr>
        <w:t xml:space="preserve"> trimestre por $</w:t>
      </w:r>
      <w:r>
        <w:rPr>
          <w:rFonts w:ascii="Cambria" w:hAnsi="Cambria"/>
          <w:sz w:val="20"/>
          <w:szCs w:val="20"/>
          <w:lang w:val="es-ES"/>
        </w:rPr>
        <w:t>276,619</w:t>
      </w:r>
      <w:r w:rsidRPr="004C74BE">
        <w:rPr>
          <w:rFonts w:ascii="Cambria" w:hAnsi="Cambria"/>
          <w:sz w:val="20"/>
          <w:szCs w:val="20"/>
          <w:lang w:val="es-ES"/>
        </w:rPr>
        <w:t>.00</w:t>
      </w:r>
      <w:r>
        <w:rPr>
          <w:rFonts w:ascii="Cambria" w:hAnsi="Cambria"/>
          <w:sz w:val="20"/>
          <w:szCs w:val="20"/>
          <w:lang w:val="es-ES"/>
        </w:rPr>
        <w:t xml:space="preserve"> pesos</w:t>
      </w:r>
      <w:r w:rsidRPr="004C74BE">
        <w:rPr>
          <w:rFonts w:ascii="Cambria" w:hAnsi="Cambria"/>
          <w:sz w:val="20"/>
          <w:szCs w:val="20"/>
          <w:lang w:val="es-ES"/>
        </w:rPr>
        <w:t>.</w:t>
      </w:r>
    </w:p>
    <w:p w14:paraId="53A5378F" w14:textId="77777777" w:rsidR="00252E12" w:rsidRPr="00F717D9" w:rsidRDefault="00252E12" w:rsidP="00252E12">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por Proyectos de Investigación, se incrementa </w:t>
      </w:r>
      <w:r>
        <w:rPr>
          <w:rFonts w:ascii="Cambria" w:hAnsi="Cambria"/>
          <w:sz w:val="20"/>
          <w:szCs w:val="20"/>
          <w:lang w:val="es-ES"/>
        </w:rPr>
        <w:t xml:space="preserve">$4,716,733.00 </w:t>
      </w:r>
      <w:r w:rsidRPr="00F717D9">
        <w:rPr>
          <w:rFonts w:ascii="Cambria" w:hAnsi="Cambria"/>
          <w:sz w:val="20"/>
          <w:szCs w:val="20"/>
          <w:lang w:val="es-ES"/>
        </w:rPr>
        <w:t>por la ministración de recursos COTACYT destinados a proyectos de Investigación</w:t>
      </w:r>
      <w:r>
        <w:rPr>
          <w:rFonts w:ascii="Cambria" w:hAnsi="Cambria"/>
          <w:sz w:val="20"/>
          <w:szCs w:val="20"/>
          <w:lang w:val="es-ES"/>
        </w:rPr>
        <w:t xml:space="preserve"> y </w:t>
      </w:r>
      <w:r w:rsidRPr="00F717D9">
        <w:rPr>
          <w:rFonts w:ascii="Cambria" w:hAnsi="Cambria"/>
          <w:sz w:val="20"/>
          <w:szCs w:val="20"/>
          <w:lang w:val="es-ES"/>
        </w:rPr>
        <w:t xml:space="preserve">un incremento por intereses generados al </w:t>
      </w:r>
      <w:r>
        <w:rPr>
          <w:rFonts w:ascii="Cambria" w:hAnsi="Cambria"/>
          <w:sz w:val="20"/>
          <w:szCs w:val="20"/>
          <w:lang w:val="es-ES"/>
        </w:rPr>
        <w:t>cuarto</w:t>
      </w:r>
      <w:r w:rsidRPr="00F717D9">
        <w:rPr>
          <w:rFonts w:ascii="Cambria" w:hAnsi="Cambria"/>
          <w:sz w:val="20"/>
          <w:szCs w:val="20"/>
          <w:lang w:val="es-ES"/>
        </w:rPr>
        <w:t xml:space="preserve"> trimestre por $</w:t>
      </w:r>
      <w:r>
        <w:rPr>
          <w:rFonts w:ascii="Cambria" w:hAnsi="Cambria"/>
          <w:sz w:val="20"/>
          <w:szCs w:val="20"/>
          <w:lang w:val="es-ES"/>
        </w:rPr>
        <w:t>799,656.00 pesos.</w:t>
      </w:r>
    </w:p>
    <w:p w14:paraId="04514D82" w14:textId="77777777" w:rsidR="00252E12" w:rsidRDefault="00252E12" w:rsidP="00252E12">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lastRenderedPageBreak/>
        <w:t xml:space="preserve">Ingresos Propios, se incrementa por captación de recursos por concepto de ingresos académicos, intereses generados al </w:t>
      </w:r>
      <w:r>
        <w:rPr>
          <w:rFonts w:ascii="Cambria" w:hAnsi="Cambria"/>
          <w:sz w:val="20"/>
          <w:szCs w:val="20"/>
          <w:lang w:val="es-ES"/>
        </w:rPr>
        <w:t>cuarto</w:t>
      </w:r>
      <w:r w:rsidRPr="00F717D9">
        <w:rPr>
          <w:rFonts w:ascii="Cambria" w:hAnsi="Cambria"/>
          <w:sz w:val="20"/>
          <w:szCs w:val="20"/>
          <w:lang w:val="es-ES"/>
        </w:rPr>
        <w:t xml:space="preserve"> trimestre y por la captación de otros ingresos varios.</w:t>
      </w:r>
    </w:p>
    <w:p w14:paraId="3E171E90" w14:textId="77777777" w:rsidR="00252E12" w:rsidRPr="002A49D8" w:rsidRDefault="00252E12" w:rsidP="00252E12">
      <w:pPr>
        <w:numPr>
          <w:ilvl w:val="0"/>
          <w:numId w:val="22"/>
        </w:numPr>
        <w:spacing w:line="240" w:lineRule="auto"/>
        <w:jc w:val="both"/>
        <w:rPr>
          <w:rFonts w:ascii="Cambria" w:hAnsi="Cambria"/>
          <w:sz w:val="20"/>
          <w:szCs w:val="20"/>
          <w:lang w:val="es-ES"/>
        </w:rPr>
      </w:pPr>
      <w:r w:rsidRPr="002A49D8">
        <w:rPr>
          <w:rFonts w:ascii="Cambria" w:hAnsi="Cambria"/>
          <w:sz w:val="20"/>
          <w:szCs w:val="20"/>
          <w:lang w:val="es-ES"/>
        </w:rPr>
        <w:t>PRODEP, se incrementa por la aportación de $838,980.00 pesos por Convenio de apoyo en el Marco del Programa Presupuestario S247 para el Desarrollo Profesional Docente Tipo Superior y por el reconocimiento de intereses generados al cuarto trimestre por $1,412,750.00 pesos.</w:t>
      </w:r>
    </w:p>
    <w:p w14:paraId="0C2CDA92" w14:textId="77777777" w:rsidR="00A97DA2" w:rsidRDefault="00A97DA2" w:rsidP="00A97DA2">
      <w:pPr>
        <w:spacing w:after="0" w:line="240" w:lineRule="auto"/>
        <w:ind w:left="426"/>
        <w:jc w:val="both"/>
        <w:rPr>
          <w:rFonts w:ascii="Cambria" w:hAnsi="Cambria"/>
          <w:b/>
          <w:bCs/>
          <w:sz w:val="20"/>
          <w:szCs w:val="20"/>
          <w:lang w:val="es-ES"/>
        </w:rPr>
      </w:pPr>
    </w:p>
    <w:p w14:paraId="6E07A2A3" w14:textId="77777777" w:rsidR="00A97DA2" w:rsidRDefault="00A97DA2" w:rsidP="00A97DA2">
      <w:pPr>
        <w:spacing w:after="0" w:line="240" w:lineRule="auto"/>
        <w:ind w:left="426"/>
        <w:jc w:val="both"/>
        <w:rPr>
          <w:rFonts w:ascii="Cambria" w:hAnsi="Cambria"/>
          <w:b/>
          <w:bCs/>
          <w:sz w:val="20"/>
          <w:szCs w:val="20"/>
          <w:lang w:val="es-ES"/>
        </w:rPr>
      </w:pPr>
    </w:p>
    <w:p w14:paraId="23FFCDAE" w14:textId="77777777" w:rsidR="007F2682" w:rsidRDefault="00A97DA2" w:rsidP="00A97DA2">
      <w:pPr>
        <w:spacing w:after="0" w:line="240" w:lineRule="auto"/>
        <w:ind w:left="426"/>
        <w:jc w:val="both"/>
        <w:rPr>
          <w:rFonts w:ascii="Cambria" w:hAnsi="Cambria"/>
          <w:b/>
          <w:bCs/>
          <w:sz w:val="20"/>
          <w:szCs w:val="20"/>
          <w:lang w:val="es-ES"/>
        </w:rPr>
      </w:pPr>
      <w:r w:rsidRPr="00A97DA2">
        <w:rPr>
          <w:rFonts w:ascii="Cambria" w:hAnsi="Cambria"/>
          <w:b/>
          <w:bCs/>
          <w:sz w:val="20"/>
          <w:szCs w:val="20"/>
          <w:lang w:val="es-ES"/>
        </w:rPr>
        <w:t xml:space="preserve">PRESUPUESTO DE EGRESOS. </w:t>
      </w:r>
    </w:p>
    <w:p w14:paraId="477FF576" w14:textId="05E0DD50" w:rsidR="00A97DA2" w:rsidRPr="00A97DA2" w:rsidRDefault="00A97DA2" w:rsidP="00A97DA2">
      <w:pPr>
        <w:spacing w:after="0" w:line="240" w:lineRule="auto"/>
        <w:ind w:left="426"/>
        <w:jc w:val="both"/>
        <w:rPr>
          <w:rFonts w:ascii="Cambria" w:hAnsi="Cambria"/>
          <w:sz w:val="20"/>
          <w:szCs w:val="20"/>
          <w:lang w:val="es-ES"/>
        </w:rPr>
      </w:pPr>
      <w:r w:rsidRPr="00A97DA2">
        <w:rPr>
          <w:rFonts w:ascii="Cambria" w:hAnsi="Cambria"/>
          <w:sz w:val="20"/>
          <w:szCs w:val="20"/>
          <w:lang w:val="es-ES"/>
        </w:rPr>
        <w:t>La Universidad Autónoma de Tamaulipas para el ejercicio 2023 autorizó un Presupuesto de Egresos de $4,923,860,927.00 pesos, el cual ha sufrido modificaciones por</w:t>
      </w:r>
      <w:r w:rsidR="007F2682">
        <w:rPr>
          <w:rFonts w:ascii="Cambria" w:hAnsi="Cambria"/>
          <w:sz w:val="20"/>
          <w:szCs w:val="20"/>
          <w:lang w:val="es-ES"/>
        </w:rPr>
        <w:t xml:space="preserve"> </w:t>
      </w:r>
      <w:r w:rsidRPr="00A97DA2">
        <w:rPr>
          <w:rFonts w:ascii="Cambria" w:hAnsi="Cambria"/>
          <w:sz w:val="20"/>
          <w:szCs w:val="20"/>
          <w:lang w:val="es-ES"/>
        </w:rPr>
        <w:t>$ -134,495,191.00 pesos, resultando en un presupuesto modificado de $ 4,789,</w:t>
      </w:r>
      <w:r w:rsidR="00ED04DF">
        <w:rPr>
          <w:rFonts w:ascii="Cambria" w:hAnsi="Cambria"/>
          <w:sz w:val="20"/>
          <w:szCs w:val="20"/>
          <w:lang w:val="es-ES"/>
        </w:rPr>
        <w:t>365</w:t>
      </w:r>
      <w:r w:rsidRPr="00A97DA2">
        <w:rPr>
          <w:rFonts w:ascii="Cambria" w:hAnsi="Cambria"/>
          <w:sz w:val="20"/>
          <w:szCs w:val="20"/>
          <w:lang w:val="es-ES"/>
        </w:rPr>
        <w:t>,</w:t>
      </w:r>
      <w:r w:rsidR="00ED04DF">
        <w:rPr>
          <w:rFonts w:ascii="Cambria" w:hAnsi="Cambria"/>
          <w:sz w:val="20"/>
          <w:szCs w:val="20"/>
          <w:lang w:val="es-ES"/>
        </w:rPr>
        <w:t>736</w:t>
      </w:r>
      <w:r w:rsidRPr="00A97DA2">
        <w:rPr>
          <w:rFonts w:ascii="Cambria" w:hAnsi="Cambria"/>
          <w:sz w:val="20"/>
          <w:szCs w:val="20"/>
          <w:lang w:val="es-ES"/>
        </w:rPr>
        <w:t>.00 pesos.</w:t>
      </w:r>
    </w:p>
    <w:p w14:paraId="12F88A02" w14:textId="77777777" w:rsidR="00A97DA2" w:rsidRPr="00A97DA2" w:rsidRDefault="00A97DA2" w:rsidP="00A97DA2">
      <w:pPr>
        <w:spacing w:after="0" w:line="240" w:lineRule="auto"/>
        <w:ind w:left="426"/>
        <w:jc w:val="both"/>
        <w:rPr>
          <w:rFonts w:ascii="Cambria" w:hAnsi="Cambria"/>
          <w:sz w:val="20"/>
          <w:szCs w:val="20"/>
          <w:lang w:val="es-ES"/>
        </w:rPr>
      </w:pPr>
    </w:p>
    <w:p w14:paraId="63D335E8" w14:textId="77777777" w:rsidR="00A97DA2" w:rsidRDefault="00A97DA2" w:rsidP="00A97DA2">
      <w:pPr>
        <w:spacing w:line="240" w:lineRule="auto"/>
        <w:jc w:val="center"/>
        <w:rPr>
          <w:rFonts w:asciiTheme="majorHAnsi" w:hAnsiTheme="majorHAnsi"/>
          <w:sz w:val="20"/>
          <w:szCs w:val="20"/>
          <w:lang w:val="es-ES"/>
        </w:rPr>
      </w:pPr>
      <w:r w:rsidRPr="00D476DE">
        <w:rPr>
          <w:noProof/>
        </w:rPr>
        <w:drawing>
          <wp:inline distT="0" distB="0" distL="0" distR="0" wp14:anchorId="3CCFA4CD" wp14:editId="04F224D1">
            <wp:extent cx="5133975" cy="6038850"/>
            <wp:effectExtent l="0" t="0" r="9525" b="0"/>
            <wp:docPr id="2044780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002" cy="6042411"/>
                    </a:xfrm>
                    <a:prstGeom prst="rect">
                      <a:avLst/>
                    </a:prstGeom>
                    <a:noFill/>
                    <a:ln>
                      <a:noFill/>
                    </a:ln>
                  </pic:spPr>
                </pic:pic>
              </a:graphicData>
            </a:graphic>
          </wp:inline>
        </w:drawing>
      </w:r>
    </w:p>
    <w:p w14:paraId="1E0F28E0" w14:textId="77777777" w:rsidR="007F2682" w:rsidRDefault="007F2682" w:rsidP="00A97DA2">
      <w:pPr>
        <w:spacing w:line="240" w:lineRule="auto"/>
        <w:ind w:left="426"/>
        <w:jc w:val="both"/>
        <w:rPr>
          <w:rFonts w:ascii="Cambria" w:hAnsi="Cambria"/>
          <w:sz w:val="20"/>
          <w:szCs w:val="20"/>
          <w:lang w:val="es-ES"/>
        </w:rPr>
      </w:pPr>
    </w:p>
    <w:p w14:paraId="38C7F48D" w14:textId="0C045A76" w:rsidR="00A97DA2" w:rsidRDefault="00A97DA2" w:rsidP="00A97DA2">
      <w:pPr>
        <w:spacing w:line="240" w:lineRule="auto"/>
        <w:ind w:left="426"/>
        <w:jc w:val="both"/>
        <w:rPr>
          <w:rFonts w:ascii="Cambria" w:hAnsi="Cambria"/>
          <w:sz w:val="20"/>
          <w:szCs w:val="20"/>
          <w:lang w:val="es-ES"/>
        </w:rPr>
      </w:pPr>
      <w:r w:rsidRPr="00637865">
        <w:rPr>
          <w:rFonts w:ascii="Cambria" w:hAnsi="Cambria"/>
          <w:sz w:val="20"/>
          <w:szCs w:val="20"/>
          <w:lang w:val="es-ES"/>
        </w:rPr>
        <w:t>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Diciembre</w:t>
      </w:r>
      <w:proofErr w:type="gramEnd"/>
      <w:r w:rsidRPr="00637865">
        <w:rPr>
          <w:rFonts w:ascii="Cambria" w:hAnsi="Cambria"/>
          <w:sz w:val="20"/>
          <w:szCs w:val="20"/>
          <w:lang w:val="es-ES"/>
        </w:rPr>
        <w:t xml:space="preserve"> de 202</w:t>
      </w:r>
      <w:r>
        <w:rPr>
          <w:rFonts w:ascii="Cambria" w:hAnsi="Cambria"/>
          <w:sz w:val="20"/>
          <w:szCs w:val="20"/>
          <w:lang w:val="es-ES"/>
        </w:rPr>
        <w:t>3</w:t>
      </w:r>
      <w:r w:rsidRPr="00637865">
        <w:rPr>
          <w:rFonts w:ascii="Cambria" w:hAnsi="Cambria"/>
          <w:sz w:val="20"/>
          <w:szCs w:val="20"/>
          <w:lang w:val="es-ES"/>
        </w:rPr>
        <w:t xml:space="preserve"> la Universidad refleja un</w:t>
      </w:r>
      <w:r>
        <w:rPr>
          <w:rFonts w:ascii="Cambria" w:hAnsi="Cambria"/>
          <w:sz w:val="20"/>
          <w:szCs w:val="20"/>
          <w:lang w:val="es-ES"/>
        </w:rPr>
        <w:t>a</w:t>
      </w:r>
      <w:r w:rsidRPr="00637865">
        <w:rPr>
          <w:rFonts w:ascii="Cambria" w:hAnsi="Cambria"/>
          <w:sz w:val="20"/>
          <w:szCs w:val="20"/>
          <w:lang w:val="es-ES"/>
        </w:rPr>
        <w:t xml:space="preserve"> </w:t>
      </w:r>
      <w:r>
        <w:rPr>
          <w:rFonts w:ascii="Cambria" w:hAnsi="Cambria"/>
          <w:sz w:val="20"/>
          <w:szCs w:val="20"/>
          <w:lang w:val="es-ES"/>
        </w:rPr>
        <w:t>reducción</w:t>
      </w:r>
      <w:r w:rsidRPr="00637865">
        <w:rPr>
          <w:rFonts w:ascii="Cambria" w:hAnsi="Cambria"/>
          <w:sz w:val="20"/>
          <w:szCs w:val="20"/>
          <w:lang w:val="es-ES"/>
        </w:rPr>
        <w:t xml:space="preserve"> en el Presupuesto de Egresos por </w:t>
      </w:r>
      <w:r>
        <w:rPr>
          <w:rFonts w:ascii="Cambria" w:hAnsi="Cambria"/>
          <w:sz w:val="20"/>
          <w:szCs w:val="20"/>
          <w:lang w:val="es-ES"/>
        </w:rPr>
        <w:t>$134,495,191.00</w:t>
      </w:r>
      <w:r w:rsidRPr="00637865">
        <w:rPr>
          <w:rFonts w:ascii="Cambria" w:hAnsi="Cambria"/>
          <w:sz w:val="20"/>
          <w:szCs w:val="20"/>
          <w:lang w:val="es-ES"/>
        </w:rPr>
        <w:t xml:space="preserve"> pesos originados por:</w:t>
      </w:r>
    </w:p>
    <w:p w14:paraId="69FD94F2" w14:textId="77777777" w:rsidR="00A97DA2" w:rsidRDefault="00A97DA2" w:rsidP="00A97DA2">
      <w:pPr>
        <w:spacing w:line="240" w:lineRule="auto"/>
        <w:ind w:left="426"/>
        <w:jc w:val="both"/>
        <w:rPr>
          <w:rFonts w:ascii="Cambria" w:hAnsi="Cambria"/>
          <w:sz w:val="20"/>
          <w:szCs w:val="20"/>
          <w:lang w:val="es-ES"/>
        </w:rPr>
      </w:pPr>
      <w:r w:rsidRPr="00D476DE">
        <w:rPr>
          <w:noProof/>
        </w:rPr>
        <w:drawing>
          <wp:inline distT="0" distB="0" distL="0" distR="0" wp14:anchorId="587B1F52" wp14:editId="066D6BE0">
            <wp:extent cx="6119495" cy="1896745"/>
            <wp:effectExtent l="0" t="0" r="0" b="8255"/>
            <wp:docPr id="353025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1896745"/>
                    </a:xfrm>
                    <a:prstGeom prst="rect">
                      <a:avLst/>
                    </a:prstGeom>
                    <a:noFill/>
                    <a:ln>
                      <a:noFill/>
                    </a:ln>
                  </pic:spPr>
                </pic:pic>
              </a:graphicData>
            </a:graphic>
          </wp:inline>
        </w:drawing>
      </w:r>
    </w:p>
    <w:p w14:paraId="4047EBF2" w14:textId="77777777" w:rsidR="00A97DA2" w:rsidRDefault="00A97DA2" w:rsidP="00A97DA2">
      <w:pPr>
        <w:spacing w:line="240" w:lineRule="auto"/>
        <w:ind w:left="426"/>
        <w:jc w:val="both"/>
        <w:rPr>
          <w:rFonts w:ascii="Cambria" w:hAnsi="Cambria"/>
          <w:sz w:val="20"/>
          <w:szCs w:val="20"/>
          <w:lang w:val="es-ES"/>
        </w:rPr>
      </w:pPr>
    </w:p>
    <w:p w14:paraId="22336933" w14:textId="77777777" w:rsidR="00A97DA2" w:rsidRDefault="00A97DA2" w:rsidP="00A97DA2">
      <w:pPr>
        <w:spacing w:line="240" w:lineRule="auto"/>
        <w:ind w:left="426"/>
        <w:jc w:val="both"/>
        <w:rPr>
          <w:rFonts w:ascii="Cambria" w:hAnsi="Cambria"/>
          <w:sz w:val="20"/>
          <w:szCs w:val="20"/>
          <w:lang w:val="es-ES"/>
        </w:rPr>
      </w:pPr>
    </w:p>
    <w:p w14:paraId="29578B8A" w14:textId="77777777" w:rsidR="00A97DA2" w:rsidRDefault="00A97DA2" w:rsidP="00A97DA2">
      <w:pPr>
        <w:spacing w:line="240" w:lineRule="auto"/>
        <w:ind w:left="426"/>
        <w:jc w:val="both"/>
        <w:rPr>
          <w:rFonts w:ascii="Cambria" w:hAnsi="Cambria"/>
          <w:sz w:val="20"/>
          <w:szCs w:val="20"/>
          <w:lang w:val="es-ES"/>
        </w:rPr>
      </w:pPr>
      <w:r w:rsidRPr="00392F14">
        <w:rPr>
          <w:rFonts w:ascii="Cambria" w:hAnsi="Cambria"/>
          <w:sz w:val="20"/>
          <w:szCs w:val="20"/>
          <w:lang w:val="es-ES"/>
        </w:rPr>
        <w:t>Las modificaciones presupuestales originados por las fuentes de financiamiento del ejercicio 2023, se destinaron a los siguientes capítulos:</w:t>
      </w:r>
    </w:p>
    <w:p w14:paraId="1E9107F3" w14:textId="77777777" w:rsidR="00A97DA2" w:rsidRDefault="00A97DA2" w:rsidP="00A97DA2">
      <w:pPr>
        <w:spacing w:line="240" w:lineRule="auto"/>
        <w:ind w:left="426"/>
        <w:jc w:val="both"/>
        <w:rPr>
          <w:rFonts w:ascii="Cambria" w:hAnsi="Cambria"/>
          <w:sz w:val="20"/>
          <w:szCs w:val="20"/>
          <w:lang w:val="es-ES"/>
        </w:rPr>
      </w:pPr>
    </w:p>
    <w:p w14:paraId="3CEAAE73" w14:textId="77777777" w:rsidR="00A97DA2" w:rsidRPr="00AC5B20" w:rsidRDefault="00A97DA2" w:rsidP="00A97DA2">
      <w:pPr>
        <w:spacing w:line="240" w:lineRule="auto"/>
        <w:ind w:left="426"/>
        <w:jc w:val="both"/>
        <w:rPr>
          <w:rFonts w:ascii="Cambria" w:hAnsi="Cambria"/>
          <w:sz w:val="20"/>
          <w:szCs w:val="20"/>
          <w:lang w:val="es-ES"/>
        </w:rPr>
      </w:pPr>
      <w:r w:rsidRPr="00581072">
        <w:rPr>
          <w:noProof/>
        </w:rPr>
        <w:drawing>
          <wp:inline distT="0" distB="0" distL="0" distR="0" wp14:anchorId="2ED0371C" wp14:editId="04DEF2A2">
            <wp:extent cx="6119495" cy="3047365"/>
            <wp:effectExtent l="0" t="0" r="0" b="635"/>
            <wp:docPr id="14517286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047365"/>
                    </a:xfrm>
                    <a:prstGeom prst="rect">
                      <a:avLst/>
                    </a:prstGeom>
                    <a:noFill/>
                    <a:ln>
                      <a:noFill/>
                    </a:ln>
                  </pic:spPr>
                </pic:pic>
              </a:graphicData>
            </a:graphic>
          </wp:inline>
        </w:drawing>
      </w:r>
    </w:p>
    <w:p w14:paraId="12333BF6" w14:textId="77777777" w:rsidR="00A97DA2" w:rsidRDefault="00A97DA2" w:rsidP="00A97DA2">
      <w:pPr>
        <w:spacing w:line="240" w:lineRule="auto"/>
        <w:jc w:val="center"/>
        <w:rPr>
          <w:rFonts w:asciiTheme="majorHAnsi" w:hAnsiTheme="majorHAnsi"/>
          <w:sz w:val="20"/>
          <w:szCs w:val="20"/>
          <w:lang w:val="es-ES"/>
        </w:rPr>
      </w:pPr>
    </w:p>
    <w:p w14:paraId="528FF919" w14:textId="77777777" w:rsidR="00A97DA2" w:rsidRDefault="00A97DA2" w:rsidP="00A97DA2">
      <w:pPr>
        <w:tabs>
          <w:tab w:val="left" w:pos="2835"/>
        </w:tabs>
        <w:spacing w:line="240" w:lineRule="auto"/>
        <w:ind w:left="426"/>
        <w:jc w:val="both"/>
        <w:rPr>
          <w:rFonts w:ascii="Cambria" w:hAnsi="Cambria"/>
          <w:sz w:val="20"/>
          <w:szCs w:val="20"/>
          <w:lang w:val="es-ES"/>
        </w:rPr>
      </w:pPr>
    </w:p>
    <w:p w14:paraId="78541EC7" w14:textId="77777777" w:rsidR="00A97DA2" w:rsidRDefault="00A97DA2" w:rsidP="00A97DA2">
      <w:pPr>
        <w:tabs>
          <w:tab w:val="left" w:pos="2835"/>
        </w:tabs>
        <w:spacing w:line="240" w:lineRule="auto"/>
        <w:jc w:val="both"/>
        <w:rPr>
          <w:rFonts w:ascii="Cambria" w:hAnsi="Cambria"/>
          <w:sz w:val="20"/>
          <w:szCs w:val="20"/>
          <w:lang w:val="es-ES"/>
        </w:rPr>
      </w:pPr>
    </w:p>
    <w:p w14:paraId="4E2DAB4F" w14:textId="77777777" w:rsidR="00A97DA2" w:rsidRDefault="00A97DA2" w:rsidP="00A97DA2">
      <w:pPr>
        <w:tabs>
          <w:tab w:val="left" w:pos="2835"/>
        </w:tabs>
        <w:spacing w:line="240" w:lineRule="auto"/>
        <w:jc w:val="both"/>
        <w:rPr>
          <w:rFonts w:ascii="Cambria" w:hAnsi="Cambria"/>
          <w:sz w:val="20"/>
          <w:szCs w:val="20"/>
          <w:lang w:val="es-ES"/>
        </w:rPr>
      </w:pPr>
    </w:p>
    <w:p w14:paraId="4911C8A5" w14:textId="77777777" w:rsidR="00A97DA2" w:rsidRDefault="00A97DA2" w:rsidP="00A97DA2">
      <w:pPr>
        <w:tabs>
          <w:tab w:val="left" w:pos="2835"/>
        </w:tabs>
        <w:spacing w:line="240" w:lineRule="auto"/>
        <w:ind w:left="426"/>
        <w:jc w:val="both"/>
        <w:rPr>
          <w:rFonts w:ascii="Cambria" w:hAnsi="Cambria"/>
          <w:sz w:val="20"/>
          <w:szCs w:val="20"/>
          <w:lang w:val="es-ES"/>
        </w:rPr>
      </w:pPr>
      <w:r w:rsidRPr="00392F14">
        <w:rPr>
          <w:rFonts w:ascii="Cambria" w:hAnsi="Cambria"/>
          <w:sz w:val="20"/>
          <w:szCs w:val="20"/>
          <w:lang w:val="es-ES"/>
        </w:rPr>
        <w:t xml:space="preserve">Los refrendos de ejercicios anteriores pendientes de devengar al 31 de </w:t>
      </w:r>
      <w:proofErr w:type="gramStart"/>
      <w:r w:rsidRPr="00392F14">
        <w:rPr>
          <w:rFonts w:ascii="Cambria" w:hAnsi="Cambria"/>
          <w:sz w:val="20"/>
          <w:szCs w:val="20"/>
          <w:lang w:val="es-ES"/>
        </w:rPr>
        <w:t>Diciembre</w:t>
      </w:r>
      <w:proofErr w:type="gramEnd"/>
      <w:r w:rsidRPr="00392F14">
        <w:rPr>
          <w:rFonts w:ascii="Cambria" w:hAnsi="Cambria"/>
          <w:sz w:val="20"/>
          <w:szCs w:val="20"/>
          <w:lang w:val="es-ES"/>
        </w:rPr>
        <w:t xml:space="preserve"> de 2022, se aplicaron en los siguientes capítulos de gasto</w:t>
      </w:r>
      <w:r w:rsidRPr="00637865">
        <w:rPr>
          <w:rFonts w:ascii="Cambria" w:hAnsi="Cambria"/>
          <w:sz w:val="20"/>
          <w:szCs w:val="20"/>
          <w:lang w:val="es-ES"/>
        </w:rPr>
        <w:t>:</w:t>
      </w:r>
    </w:p>
    <w:p w14:paraId="4A4B3EB4" w14:textId="77777777" w:rsidR="00A97DA2" w:rsidRDefault="00A97DA2" w:rsidP="00A97DA2">
      <w:pPr>
        <w:tabs>
          <w:tab w:val="left" w:pos="2835"/>
        </w:tabs>
        <w:spacing w:line="240" w:lineRule="auto"/>
        <w:ind w:left="426"/>
        <w:jc w:val="both"/>
        <w:rPr>
          <w:rFonts w:ascii="Cambria" w:hAnsi="Cambria"/>
          <w:sz w:val="20"/>
          <w:szCs w:val="20"/>
          <w:lang w:val="es-ES"/>
        </w:rPr>
      </w:pPr>
    </w:p>
    <w:p w14:paraId="43B15449" w14:textId="77777777" w:rsidR="00A97DA2" w:rsidRDefault="00A97DA2" w:rsidP="00A97DA2">
      <w:pPr>
        <w:tabs>
          <w:tab w:val="left" w:pos="2835"/>
        </w:tabs>
        <w:spacing w:line="240" w:lineRule="auto"/>
        <w:ind w:left="426"/>
        <w:jc w:val="both"/>
        <w:rPr>
          <w:rFonts w:ascii="Cambria" w:hAnsi="Cambria"/>
          <w:sz w:val="20"/>
          <w:szCs w:val="20"/>
          <w:lang w:val="es-ES"/>
        </w:rPr>
      </w:pPr>
      <w:r>
        <w:rPr>
          <w:noProof/>
        </w:rPr>
        <w:drawing>
          <wp:inline distT="0" distB="0" distL="0" distR="0" wp14:anchorId="780EF2EF" wp14:editId="708AC2F7">
            <wp:extent cx="5610860" cy="3314065"/>
            <wp:effectExtent l="0" t="0" r="8890" b="635"/>
            <wp:docPr id="67473926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39260" name="Imagen 1"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860" cy="3314065"/>
                    </a:xfrm>
                    <a:prstGeom prst="rect">
                      <a:avLst/>
                    </a:prstGeom>
                    <a:noFill/>
                    <a:ln>
                      <a:noFill/>
                    </a:ln>
                  </pic:spPr>
                </pic:pic>
              </a:graphicData>
            </a:graphic>
          </wp:inline>
        </w:drawing>
      </w:r>
    </w:p>
    <w:p w14:paraId="04FB46A5" w14:textId="77777777" w:rsidR="00A97DA2" w:rsidRDefault="00A97DA2" w:rsidP="00A97DA2">
      <w:pPr>
        <w:spacing w:line="240" w:lineRule="auto"/>
        <w:jc w:val="both"/>
        <w:rPr>
          <w:rFonts w:asciiTheme="majorHAnsi" w:hAnsiTheme="majorHAnsi"/>
          <w:sz w:val="20"/>
          <w:szCs w:val="20"/>
          <w:lang w:val="es-ES"/>
        </w:rPr>
      </w:pPr>
    </w:p>
    <w:p w14:paraId="36D1DE6A" w14:textId="77777777" w:rsidR="00A97DA2" w:rsidRPr="00637865" w:rsidRDefault="00A97DA2" w:rsidP="00A97DA2">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2C4E645F" w14:textId="77777777" w:rsidR="00A97DA2" w:rsidRDefault="00A97DA2" w:rsidP="00A97DA2">
      <w:pPr>
        <w:spacing w:line="240" w:lineRule="auto"/>
        <w:jc w:val="both"/>
        <w:rPr>
          <w:rFonts w:ascii="Cambria" w:hAnsi="Cambria"/>
          <w:sz w:val="20"/>
          <w:szCs w:val="20"/>
          <w:lang w:val="es-ES"/>
        </w:rPr>
      </w:pPr>
      <w:bookmarkStart w:id="3" w:name="_Hlk155599520"/>
      <w:r w:rsidRPr="00637865">
        <w:rPr>
          <w:rFonts w:ascii="Cambria" w:hAnsi="Cambria"/>
          <w:sz w:val="20"/>
          <w:szCs w:val="20"/>
          <w:lang w:val="es-ES"/>
        </w:rPr>
        <w:t xml:space="preserve">El presupuesto de </w:t>
      </w:r>
      <w:r>
        <w:rPr>
          <w:rFonts w:ascii="Cambria" w:hAnsi="Cambria"/>
          <w:sz w:val="20"/>
          <w:szCs w:val="20"/>
          <w:lang w:val="es-ES"/>
        </w:rPr>
        <w:t>I</w:t>
      </w:r>
      <w:r w:rsidRPr="00637865">
        <w:rPr>
          <w:rFonts w:ascii="Cambria" w:hAnsi="Cambria"/>
          <w:sz w:val="20"/>
          <w:szCs w:val="20"/>
          <w:lang w:val="es-ES"/>
        </w:rPr>
        <w:t>ngresos modificado 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Diciembre</w:t>
      </w:r>
      <w:proofErr w:type="gramEnd"/>
      <w:r w:rsidRPr="00637865">
        <w:rPr>
          <w:rFonts w:ascii="Cambria" w:hAnsi="Cambria"/>
          <w:sz w:val="20"/>
          <w:szCs w:val="20"/>
          <w:lang w:val="es-ES"/>
        </w:rPr>
        <w:t xml:space="preserve"> importa la cantidad de $ </w:t>
      </w:r>
      <w:r>
        <w:rPr>
          <w:rFonts w:ascii="Cambria" w:hAnsi="Cambria"/>
          <w:sz w:val="20"/>
          <w:szCs w:val="20"/>
          <w:lang w:val="es-ES"/>
        </w:rPr>
        <w:t>4,689,205,210.00</w:t>
      </w:r>
      <w:r w:rsidRPr="00D77670">
        <w:rPr>
          <w:rFonts w:ascii="Cambria" w:hAnsi="Cambria"/>
          <w:sz w:val="20"/>
          <w:szCs w:val="20"/>
          <w:lang w:val="es-ES"/>
        </w:rPr>
        <w:t xml:space="preserve"> </w:t>
      </w:r>
      <w:r w:rsidRPr="00F717D9">
        <w:rPr>
          <w:rFonts w:ascii="Cambria" w:hAnsi="Cambria"/>
          <w:sz w:val="20"/>
          <w:szCs w:val="20"/>
          <w:lang w:val="es-ES"/>
        </w:rPr>
        <w:t>pesos</w:t>
      </w:r>
      <w:r>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 </w:t>
      </w:r>
      <w:r>
        <w:rPr>
          <w:rFonts w:ascii="Cambria" w:hAnsi="Cambria"/>
          <w:sz w:val="20"/>
          <w:szCs w:val="20"/>
          <w:lang w:val="es-ES"/>
        </w:rPr>
        <w:t>4,789,365,736</w:t>
      </w:r>
      <w:r w:rsidRPr="00F717D9">
        <w:rPr>
          <w:rFonts w:ascii="Cambria" w:hAnsi="Cambria"/>
          <w:sz w:val="20"/>
          <w:szCs w:val="20"/>
          <w:lang w:val="es-ES"/>
        </w:rPr>
        <w:t xml:space="preserve">.00 </w:t>
      </w:r>
      <w:r w:rsidRPr="00637865">
        <w:rPr>
          <w:rFonts w:ascii="Cambria" w:hAnsi="Cambria"/>
          <w:sz w:val="20"/>
          <w:szCs w:val="20"/>
          <w:lang w:val="es-ES"/>
        </w:rPr>
        <w:t xml:space="preserve">pesos, existiendo un </w:t>
      </w:r>
      <w:r>
        <w:rPr>
          <w:rFonts w:ascii="Cambria" w:hAnsi="Cambria"/>
          <w:sz w:val="20"/>
          <w:szCs w:val="20"/>
          <w:lang w:val="es-ES"/>
        </w:rPr>
        <w:t>diferencia</w:t>
      </w:r>
      <w:r w:rsidRPr="00637865">
        <w:rPr>
          <w:rFonts w:ascii="Cambria" w:hAnsi="Cambria"/>
          <w:sz w:val="20"/>
          <w:szCs w:val="20"/>
          <w:lang w:val="es-ES"/>
        </w:rPr>
        <w:t xml:space="preserve"> presupuestal</w:t>
      </w:r>
      <w:r>
        <w:rPr>
          <w:rFonts w:ascii="Cambria" w:hAnsi="Cambria"/>
          <w:sz w:val="20"/>
          <w:szCs w:val="20"/>
          <w:lang w:val="es-ES"/>
        </w:rPr>
        <w:t xml:space="preserve"> neta</w:t>
      </w:r>
      <w:r w:rsidRPr="00637865">
        <w:rPr>
          <w:rFonts w:ascii="Cambria" w:hAnsi="Cambria"/>
          <w:sz w:val="20"/>
          <w:szCs w:val="20"/>
          <w:lang w:val="es-ES"/>
        </w:rPr>
        <w:t xml:space="preserve"> de $</w:t>
      </w:r>
      <w:r>
        <w:rPr>
          <w:rFonts w:ascii="Cambria" w:hAnsi="Cambria"/>
          <w:sz w:val="20"/>
          <w:szCs w:val="20"/>
          <w:lang w:val="es-ES"/>
        </w:rPr>
        <w:t>-100,160,526</w:t>
      </w:r>
      <w:r w:rsidRPr="00637865">
        <w:rPr>
          <w:rFonts w:ascii="Cambria" w:hAnsi="Cambria"/>
          <w:sz w:val="20"/>
          <w:szCs w:val="20"/>
          <w:lang w:val="es-ES"/>
        </w:rPr>
        <w:t>.00 pesos</w:t>
      </w:r>
      <w:r>
        <w:rPr>
          <w:rFonts w:ascii="Cambria" w:hAnsi="Cambria"/>
          <w:sz w:val="20"/>
          <w:szCs w:val="20"/>
          <w:lang w:val="es-ES"/>
        </w:rPr>
        <w:t>. La diferencia presupuestal neta se integra por un efecto positivo del ahorro presupuestal de recursos de libre disposición del Ejercicio 2023 por $ 59,858,163.00 pesos y el efecto de los recursos refrendados del Ejercicio 2022 por 160,018,689.00 pesos.</w:t>
      </w:r>
      <w:bookmarkEnd w:id="3"/>
    </w:p>
    <w:p w14:paraId="643ED9E9" w14:textId="77777777" w:rsidR="0075136F" w:rsidRPr="00E020BE" w:rsidRDefault="0075136F" w:rsidP="0075136F">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5A3AA4A6" w14:textId="77777777" w:rsidR="0075136F" w:rsidRDefault="0075136F" w:rsidP="0075136F">
      <w:pPr>
        <w:pStyle w:val="Texto"/>
        <w:spacing w:after="0" w:line="240" w:lineRule="exact"/>
        <w:ind w:firstLine="0"/>
        <w:jc w:val="center"/>
        <w:rPr>
          <w:rFonts w:ascii="DIN Pro Regular" w:hAnsi="DIN Pro Regular" w:cs="DIN Pro Regular"/>
          <w:sz w:val="20"/>
          <w:highlight w:val="yellow"/>
        </w:rPr>
      </w:pPr>
    </w:p>
    <w:p w14:paraId="0BBB40B3" w14:textId="77777777"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6669232E" w14:textId="77777777" w:rsidR="00432F18" w:rsidRDefault="00432F18" w:rsidP="00183F52">
      <w:pPr>
        <w:pStyle w:val="Texto"/>
        <w:spacing w:after="0" w:line="240" w:lineRule="exact"/>
        <w:ind w:firstLine="0"/>
        <w:jc w:val="center"/>
        <w:rPr>
          <w:rFonts w:ascii="DIN Pro Regular" w:hAnsi="DIN Pro Regular" w:cs="DIN Pro Regular"/>
          <w:sz w:val="20"/>
          <w:highlight w:val="yellow"/>
        </w:rPr>
      </w:pPr>
    </w:p>
    <w:p w14:paraId="08A27D53" w14:textId="77777777" w:rsidR="00432F18" w:rsidRDefault="00432F18" w:rsidP="00183F52">
      <w:pPr>
        <w:pStyle w:val="Texto"/>
        <w:spacing w:after="0" w:line="240" w:lineRule="exact"/>
        <w:ind w:firstLine="0"/>
        <w:jc w:val="center"/>
        <w:rPr>
          <w:rFonts w:ascii="DIN Pro Regular" w:hAnsi="DIN Pro Regular" w:cs="DIN Pro Regular"/>
          <w:sz w:val="20"/>
          <w:highlight w:val="yellow"/>
        </w:rPr>
      </w:pPr>
    </w:p>
    <w:p w14:paraId="2D5BE4EC" w14:textId="77777777" w:rsidR="00432F18" w:rsidRPr="00D27C80" w:rsidRDefault="00432F18"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0274680D" w:rsidR="0099293B" w:rsidRDefault="00DB42B2"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E64DA">
      <w:pPr>
        <w:pStyle w:val="Texto"/>
        <w:spacing w:after="0" w:line="240" w:lineRule="exact"/>
        <w:ind w:firstLine="0"/>
        <w:rPr>
          <w:rFonts w:ascii="DIN Pro Regular" w:hAnsi="DIN Pro Regular" w:cs="DIN Pro Regular"/>
          <w:sz w:val="20"/>
        </w:rPr>
      </w:pPr>
    </w:p>
    <w:sectPr w:rsidR="00937ECC" w:rsidRPr="00AD4A56" w:rsidSect="006A350B">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52F0" w14:textId="77777777" w:rsidR="006A350B" w:rsidRDefault="006A350B" w:rsidP="00EA5418">
      <w:pPr>
        <w:spacing w:after="0" w:line="240" w:lineRule="auto"/>
      </w:pPr>
      <w:r>
        <w:separator/>
      </w:r>
    </w:p>
  </w:endnote>
  <w:endnote w:type="continuationSeparator" w:id="0">
    <w:p w14:paraId="33AFBF52" w14:textId="77777777" w:rsidR="006A350B" w:rsidRDefault="006A350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altName w:val="Calibri"/>
    <w:panose1 w:val="020B0504020101020102"/>
    <w:charset w:val="00"/>
    <w:family w:val="swiss"/>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5732F9" w:rsidRPr="00241D8F" w:rsidRDefault="005732F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45BD" w:rsidRPr="002A45BD">
      <w:rPr>
        <w:rFonts w:ascii="Arial" w:hAnsi="Arial" w:cs="Arial"/>
        <w:noProof/>
        <w:lang w:val="es-ES"/>
      </w:rPr>
      <w:t>20</w:t>
    </w:r>
    <w:r w:rsidRPr="00241D8F">
      <w:rPr>
        <w:rFonts w:ascii="Arial" w:hAnsi="Arial" w:cs="Arial"/>
      </w:rPr>
      <w:fldChar w:fldCharType="end"/>
    </w:r>
  </w:p>
  <w:p w14:paraId="5E65C032" w14:textId="77777777" w:rsidR="005732F9" w:rsidRDefault="00573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5732F9" w:rsidRPr="007818C6" w:rsidRDefault="005732F9"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45BD" w:rsidRPr="002A45BD">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E3FF" w14:textId="77777777" w:rsidR="006A350B" w:rsidRDefault="006A350B" w:rsidP="00EA5418">
      <w:pPr>
        <w:spacing w:after="0" w:line="240" w:lineRule="auto"/>
      </w:pPr>
      <w:r>
        <w:separator/>
      </w:r>
    </w:p>
  </w:footnote>
  <w:footnote w:type="continuationSeparator" w:id="0">
    <w:p w14:paraId="3B1D8C91" w14:textId="77777777" w:rsidR="006A350B" w:rsidRDefault="006A350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6C2F682B" w:rsidR="005732F9" w:rsidRPr="00177384" w:rsidRDefault="005732F9" w:rsidP="007F4E17">
    <w:pPr>
      <w:pStyle w:val="Encabezado"/>
      <w:jc w:val="center"/>
      <w:rPr>
        <w:rFonts w:ascii="Cambria" w:hAnsi="Cambria"/>
      </w:rPr>
    </w:pPr>
    <w:r w:rsidRPr="00177384">
      <w:rPr>
        <w:rFonts w:ascii="Cambria" w:hAnsi="Cambria"/>
      </w:rPr>
      <w:t>UNIVERSIDAD AUTÓNOMA DE TAMAULIPAS</w:t>
    </w:r>
  </w:p>
  <w:p w14:paraId="6C46EC7F" w14:textId="77777777" w:rsidR="005732F9" w:rsidRPr="00177384" w:rsidRDefault="005732F9" w:rsidP="007F4E17">
    <w:pPr>
      <w:pStyle w:val="Encabezado"/>
      <w:jc w:val="center"/>
      <w:rPr>
        <w:rFonts w:ascii="Cambria" w:hAnsi="Cambria"/>
      </w:rPr>
    </w:pPr>
    <w:r w:rsidRPr="00177384">
      <w:rPr>
        <w:rFonts w:ascii="Cambria" w:hAnsi="Cambria"/>
      </w:rPr>
      <w:t>Notas a los Estados Financieros</w:t>
    </w:r>
  </w:p>
  <w:p w14:paraId="77EBC60F" w14:textId="554BE8DC" w:rsidR="005732F9" w:rsidRDefault="005732F9" w:rsidP="007F4E17">
    <w:pPr>
      <w:pStyle w:val="Encabezado"/>
      <w:jc w:val="center"/>
      <w:rPr>
        <w:rFonts w:ascii="Cambria" w:hAnsi="Cambria"/>
      </w:rPr>
    </w:pPr>
    <w:r>
      <w:rPr>
        <w:rFonts w:ascii="Cambria" w:hAnsi="Cambria"/>
      </w:rPr>
      <w:t xml:space="preserve">Al </w:t>
    </w:r>
    <w:r w:rsidR="00CB0262">
      <w:rPr>
        <w:rFonts w:ascii="Cambria" w:hAnsi="Cambria"/>
      </w:rPr>
      <w:t>31</w:t>
    </w:r>
    <w:r>
      <w:rPr>
        <w:rFonts w:ascii="Cambria" w:hAnsi="Cambria"/>
      </w:rPr>
      <w:t xml:space="preserve"> de </w:t>
    </w:r>
    <w:r w:rsidR="00CB0262">
      <w:rPr>
        <w:rFonts w:ascii="Cambria" w:hAnsi="Cambria"/>
      </w:rPr>
      <w:t>diciembre</w:t>
    </w:r>
    <w:r w:rsidRPr="00177384">
      <w:rPr>
        <w:rFonts w:ascii="Cambria" w:hAnsi="Cambria"/>
      </w:rPr>
      <w:t xml:space="preserve"> de 202</w:t>
    </w:r>
    <w:r>
      <w:rPr>
        <w:rFonts w:ascii="Cambria" w:hAnsi="Cambria"/>
      </w:rPr>
      <w:t>3</w:t>
    </w:r>
  </w:p>
  <w:p w14:paraId="6CA0FEF8" w14:textId="07BF8FC8" w:rsidR="005732F9" w:rsidRPr="00177384" w:rsidRDefault="005732F9" w:rsidP="007F4E17">
    <w:pPr>
      <w:pStyle w:val="Encabezado"/>
      <w:jc w:val="center"/>
      <w:rPr>
        <w:rFonts w:ascii="Cambria" w:hAnsi="Cambria"/>
      </w:rPr>
    </w:pPr>
    <w:r>
      <w:rPr>
        <w:rFonts w:ascii="Cambria" w:hAnsi="Cambria"/>
      </w:rPr>
      <w:t>(Cifras en pesos)</w:t>
    </w:r>
  </w:p>
  <w:p w14:paraId="0CC30612" w14:textId="03FA69EE" w:rsidR="005732F9" w:rsidRDefault="00573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470E4CA9" w:rsidR="005732F9" w:rsidRPr="00177384" w:rsidRDefault="005732F9" w:rsidP="00177384">
    <w:pPr>
      <w:pStyle w:val="Encabezado"/>
      <w:tabs>
        <w:tab w:val="clear" w:pos="8838"/>
        <w:tab w:val="left" w:pos="7965"/>
      </w:tabs>
      <w:jc w:val="center"/>
      <w:rPr>
        <w:rFonts w:ascii="Arial" w:hAnsi="Arial" w:cs="Arial"/>
      </w:rPr>
    </w:pPr>
    <w:r w:rsidRPr="00177384">
      <w:rPr>
        <w:rFonts w:ascii="Cambria" w:hAnsi="Cambria" w:cs="Arial"/>
      </w:rPr>
      <w:t>UNIVERSIDAD AUTÓNOMA DE TAMAULIPAS</w:t>
    </w:r>
  </w:p>
  <w:p w14:paraId="7A8C606E" w14:textId="74B8A817" w:rsidR="005732F9" w:rsidRPr="00177384" w:rsidRDefault="005732F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610A8E2E" w:rsidR="005732F9" w:rsidRDefault="005732F9" w:rsidP="007F4E17">
    <w:pPr>
      <w:pStyle w:val="Encabezado"/>
      <w:tabs>
        <w:tab w:val="clear" w:pos="8838"/>
        <w:tab w:val="left" w:pos="7965"/>
      </w:tabs>
      <w:jc w:val="center"/>
      <w:rPr>
        <w:rFonts w:ascii="Cambria" w:hAnsi="Cambria" w:cs="Arial"/>
      </w:rPr>
    </w:pPr>
    <w:r w:rsidRPr="00177384">
      <w:rPr>
        <w:rFonts w:ascii="Cambria" w:hAnsi="Cambria" w:cs="Arial"/>
      </w:rPr>
      <w:t xml:space="preserve">Al </w:t>
    </w:r>
    <w:r w:rsidR="00B7195D">
      <w:rPr>
        <w:rFonts w:ascii="Cambria" w:hAnsi="Cambria" w:cs="Arial"/>
      </w:rPr>
      <w:t>31</w:t>
    </w:r>
    <w:r w:rsidRPr="00177384">
      <w:rPr>
        <w:rFonts w:ascii="Cambria" w:hAnsi="Cambria" w:cs="Arial"/>
      </w:rPr>
      <w:t xml:space="preserve"> de </w:t>
    </w:r>
    <w:r w:rsidR="00B7195D">
      <w:rPr>
        <w:rFonts w:ascii="Cambria" w:hAnsi="Cambria" w:cs="Arial"/>
      </w:rPr>
      <w:t>diciembre</w:t>
    </w:r>
    <w:r w:rsidRPr="00177384">
      <w:rPr>
        <w:rFonts w:ascii="Cambria" w:hAnsi="Cambria" w:cs="Arial"/>
      </w:rPr>
      <w:t xml:space="preserve"> de 202</w:t>
    </w:r>
    <w:r>
      <w:rPr>
        <w:rFonts w:ascii="Cambria" w:hAnsi="Cambria" w:cs="Arial"/>
      </w:rPr>
      <w:t>3</w:t>
    </w:r>
  </w:p>
  <w:p w14:paraId="6A88A439" w14:textId="6548956A" w:rsidR="005732F9" w:rsidRPr="00177384" w:rsidRDefault="005732F9" w:rsidP="007F4E17">
    <w:pPr>
      <w:pStyle w:val="Encabezado"/>
      <w:tabs>
        <w:tab w:val="clear" w:pos="8838"/>
        <w:tab w:val="left" w:pos="7965"/>
      </w:tabs>
      <w:jc w:val="center"/>
      <w:rPr>
        <w:rFonts w:ascii="Cambria" w:hAnsi="Cambria" w:cs="Arial"/>
      </w:rPr>
    </w:pPr>
    <w:r>
      <w:rPr>
        <w:rFonts w:ascii="Cambria" w:hAnsi="Cambria" w:cs="Arial"/>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0026ECD6"/>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87625716">
    <w:abstractNumId w:val="2"/>
  </w:num>
  <w:num w:numId="2" w16cid:durableId="1958635223">
    <w:abstractNumId w:val="10"/>
  </w:num>
  <w:num w:numId="3" w16cid:durableId="1876893013">
    <w:abstractNumId w:val="23"/>
  </w:num>
  <w:num w:numId="4" w16cid:durableId="24185383">
    <w:abstractNumId w:val="15"/>
  </w:num>
  <w:num w:numId="5" w16cid:durableId="1051927748">
    <w:abstractNumId w:val="5"/>
  </w:num>
  <w:num w:numId="6" w16cid:durableId="901406700">
    <w:abstractNumId w:val="12"/>
  </w:num>
  <w:num w:numId="7" w16cid:durableId="109783319">
    <w:abstractNumId w:val="24"/>
  </w:num>
  <w:num w:numId="8" w16cid:durableId="60756925">
    <w:abstractNumId w:val="22"/>
  </w:num>
  <w:num w:numId="9" w16cid:durableId="1306425488">
    <w:abstractNumId w:val="20"/>
  </w:num>
  <w:num w:numId="10" w16cid:durableId="1520269529">
    <w:abstractNumId w:val="8"/>
  </w:num>
  <w:num w:numId="11" w16cid:durableId="5302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269581">
    <w:abstractNumId w:val="9"/>
  </w:num>
  <w:num w:numId="13" w16cid:durableId="1191989841">
    <w:abstractNumId w:val="3"/>
  </w:num>
  <w:num w:numId="14" w16cid:durableId="1182204981">
    <w:abstractNumId w:val="17"/>
  </w:num>
  <w:num w:numId="15" w16cid:durableId="1079332625">
    <w:abstractNumId w:val="35"/>
  </w:num>
  <w:num w:numId="16" w16cid:durableId="749085501">
    <w:abstractNumId w:val="32"/>
  </w:num>
  <w:num w:numId="17" w16cid:durableId="1532182815">
    <w:abstractNumId w:val="19"/>
  </w:num>
  <w:num w:numId="18" w16cid:durableId="1306854167">
    <w:abstractNumId w:val="30"/>
  </w:num>
  <w:num w:numId="19" w16cid:durableId="435055305">
    <w:abstractNumId w:val="33"/>
  </w:num>
  <w:num w:numId="20" w16cid:durableId="368724495">
    <w:abstractNumId w:val="27"/>
  </w:num>
  <w:num w:numId="21" w16cid:durableId="1026563427">
    <w:abstractNumId w:val="0"/>
  </w:num>
  <w:num w:numId="22" w16cid:durableId="1312365640">
    <w:abstractNumId w:val="18"/>
  </w:num>
  <w:num w:numId="23" w16cid:durableId="926772128">
    <w:abstractNumId w:val="29"/>
  </w:num>
  <w:num w:numId="24" w16cid:durableId="1570384505">
    <w:abstractNumId w:val="16"/>
  </w:num>
  <w:num w:numId="25" w16cid:durableId="886994036">
    <w:abstractNumId w:val="4"/>
  </w:num>
  <w:num w:numId="26" w16cid:durableId="1343698964">
    <w:abstractNumId w:val="14"/>
  </w:num>
  <w:num w:numId="27" w16cid:durableId="1753504642">
    <w:abstractNumId w:val="13"/>
  </w:num>
  <w:num w:numId="28" w16cid:durableId="2088066581">
    <w:abstractNumId w:val="31"/>
  </w:num>
  <w:num w:numId="29" w16cid:durableId="995956957">
    <w:abstractNumId w:val="1"/>
  </w:num>
  <w:num w:numId="30" w16cid:durableId="2029790603">
    <w:abstractNumId w:val="7"/>
  </w:num>
  <w:num w:numId="31" w16cid:durableId="725033879">
    <w:abstractNumId w:val="34"/>
  </w:num>
  <w:num w:numId="32" w16cid:durableId="643388942">
    <w:abstractNumId w:val="26"/>
  </w:num>
  <w:num w:numId="33" w16cid:durableId="613291099">
    <w:abstractNumId w:val="6"/>
  </w:num>
  <w:num w:numId="34" w16cid:durableId="290597384">
    <w:abstractNumId w:val="28"/>
  </w:num>
  <w:num w:numId="35" w16cid:durableId="494882025">
    <w:abstractNumId w:val="11"/>
  </w:num>
  <w:num w:numId="36" w16cid:durableId="929657683">
    <w:abstractNumId w:val="25"/>
  </w:num>
  <w:num w:numId="37" w16cid:durableId="1675179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2290"/>
    <w:rsid w:val="000052AF"/>
    <w:rsid w:val="00006431"/>
    <w:rsid w:val="000113AB"/>
    <w:rsid w:val="00011955"/>
    <w:rsid w:val="00013F0F"/>
    <w:rsid w:val="00022E3E"/>
    <w:rsid w:val="000244BA"/>
    <w:rsid w:val="00026ED1"/>
    <w:rsid w:val="000275BD"/>
    <w:rsid w:val="00027CF7"/>
    <w:rsid w:val="00040466"/>
    <w:rsid w:val="00041F74"/>
    <w:rsid w:val="0004380F"/>
    <w:rsid w:val="0004649B"/>
    <w:rsid w:val="00050441"/>
    <w:rsid w:val="00051670"/>
    <w:rsid w:val="00052668"/>
    <w:rsid w:val="000644CA"/>
    <w:rsid w:val="000650FE"/>
    <w:rsid w:val="00072D16"/>
    <w:rsid w:val="000768FE"/>
    <w:rsid w:val="000803D2"/>
    <w:rsid w:val="00080D07"/>
    <w:rsid w:val="000865CE"/>
    <w:rsid w:val="00093161"/>
    <w:rsid w:val="00093702"/>
    <w:rsid w:val="00093AF5"/>
    <w:rsid w:val="000974E2"/>
    <w:rsid w:val="000A3137"/>
    <w:rsid w:val="000A6616"/>
    <w:rsid w:val="000A7D09"/>
    <w:rsid w:val="000B0C3B"/>
    <w:rsid w:val="000B1AE1"/>
    <w:rsid w:val="000B3006"/>
    <w:rsid w:val="000B4EEC"/>
    <w:rsid w:val="000C474F"/>
    <w:rsid w:val="000C6CB6"/>
    <w:rsid w:val="000C7E64"/>
    <w:rsid w:val="000D028B"/>
    <w:rsid w:val="000D14EC"/>
    <w:rsid w:val="000D3BD8"/>
    <w:rsid w:val="000D5EFE"/>
    <w:rsid w:val="000D6B36"/>
    <w:rsid w:val="000E211B"/>
    <w:rsid w:val="000E420D"/>
    <w:rsid w:val="000E4C4A"/>
    <w:rsid w:val="000E4F98"/>
    <w:rsid w:val="000E5DFA"/>
    <w:rsid w:val="000E6439"/>
    <w:rsid w:val="000E644D"/>
    <w:rsid w:val="000E7601"/>
    <w:rsid w:val="000F3C4F"/>
    <w:rsid w:val="000F6047"/>
    <w:rsid w:val="000F79E7"/>
    <w:rsid w:val="001034DF"/>
    <w:rsid w:val="00104B1B"/>
    <w:rsid w:val="0010633D"/>
    <w:rsid w:val="001120EB"/>
    <w:rsid w:val="001121BF"/>
    <w:rsid w:val="00112A1E"/>
    <w:rsid w:val="00113149"/>
    <w:rsid w:val="00120CA2"/>
    <w:rsid w:val="001221E5"/>
    <w:rsid w:val="00124F0B"/>
    <w:rsid w:val="001256FE"/>
    <w:rsid w:val="0013011C"/>
    <w:rsid w:val="00131AB6"/>
    <w:rsid w:val="001339B0"/>
    <w:rsid w:val="00135398"/>
    <w:rsid w:val="00137250"/>
    <w:rsid w:val="0014068F"/>
    <w:rsid w:val="00145173"/>
    <w:rsid w:val="00146CFD"/>
    <w:rsid w:val="00150171"/>
    <w:rsid w:val="001517A9"/>
    <w:rsid w:val="00155602"/>
    <w:rsid w:val="00163D6C"/>
    <w:rsid w:val="0017081E"/>
    <w:rsid w:val="001735C8"/>
    <w:rsid w:val="00174108"/>
    <w:rsid w:val="0017449E"/>
    <w:rsid w:val="00174E04"/>
    <w:rsid w:val="00177384"/>
    <w:rsid w:val="00180EF7"/>
    <w:rsid w:val="001819BD"/>
    <w:rsid w:val="0018264C"/>
    <w:rsid w:val="00183F52"/>
    <w:rsid w:val="00185224"/>
    <w:rsid w:val="00186C07"/>
    <w:rsid w:val="00195170"/>
    <w:rsid w:val="00195967"/>
    <w:rsid w:val="001A02CD"/>
    <w:rsid w:val="001A03EA"/>
    <w:rsid w:val="001A288C"/>
    <w:rsid w:val="001A3522"/>
    <w:rsid w:val="001B0F87"/>
    <w:rsid w:val="001B1B72"/>
    <w:rsid w:val="001B20FC"/>
    <w:rsid w:val="001B35E4"/>
    <w:rsid w:val="001B3965"/>
    <w:rsid w:val="001B4D78"/>
    <w:rsid w:val="001B6AFE"/>
    <w:rsid w:val="001C2F26"/>
    <w:rsid w:val="001C327A"/>
    <w:rsid w:val="001C3CA6"/>
    <w:rsid w:val="001C6FD8"/>
    <w:rsid w:val="001C760F"/>
    <w:rsid w:val="001D3695"/>
    <w:rsid w:val="001D3BC9"/>
    <w:rsid w:val="001E0780"/>
    <w:rsid w:val="001E2701"/>
    <w:rsid w:val="001E5CA9"/>
    <w:rsid w:val="00201203"/>
    <w:rsid w:val="002013CC"/>
    <w:rsid w:val="002052B5"/>
    <w:rsid w:val="0020554C"/>
    <w:rsid w:val="0020618A"/>
    <w:rsid w:val="00206D18"/>
    <w:rsid w:val="00212091"/>
    <w:rsid w:val="00215BE8"/>
    <w:rsid w:val="00222063"/>
    <w:rsid w:val="00224D38"/>
    <w:rsid w:val="0022539D"/>
    <w:rsid w:val="002272C8"/>
    <w:rsid w:val="0023177E"/>
    <w:rsid w:val="00231B38"/>
    <w:rsid w:val="00231C0D"/>
    <w:rsid w:val="00234D83"/>
    <w:rsid w:val="00234F73"/>
    <w:rsid w:val="00236391"/>
    <w:rsid w:val="00236541"/>
    <w:rsid w:val="00241D8F"/>
    <w:rsid w:val="002437CF"/>
    <w:rsid w:val="0024446D"/>
    <w:rsid w:val="002448F0"/>
    <w:rsid w:val="0025151F"/>
    <w:rsid w:val="00252E12"/>
    <w:rsid w:val="0025695D"/>
    <w:rsid w:val="00256D6F"/>
    <w:rsid w:val="00263A6C"/>
    <w:rsid w:val="00263C1B"/>
    <w:rsid w:val="00264F1F"/>
    <w:rsid w:val="002655C8"/>
    <w:rsid w:val="00270FFF"/>
    <w:rsid w:val="0027220A"/>
    <w:rsid w:val="002759A5"/>
    <w:rsid w:val="002778D1"/>
    <w:rsid w:val="00284043"/>
    <w:rsid w:val="0029029E"/>
    <w:rsid w:val="00290E6D"/>
    <w:rsid w:val="002943EF"/>
    <w:rsid w:val="0029494B"/>
    <w:rsid w:val="002A081E"/>
    <w:rsid w:val="002A45BD"/>
    <w:rsid w:val="002A540D"/>
    <w:rsid w:val="002A70B3"/>
    <w:rsid w:val="002B174B"/>
    <w:rsid w:val="002B3257"/>
    <w:rsid w:val="002B3FDA"/>
    <w:rsid w:val="002C3AD6"/>
    <w:rsid w:val="002C3BA7"/>
    <w:rsid w:val="002C576A"/>
    <w:rsid w:val="002C628F"/>
    <w:rsid w:val="002C7C1D"/>
    <w:rsid w:val="002D015C"/>
    <w:rsid w:val="002D1FBD"/>
    <w:rsid w:val="002D28A9"/>
    <w:rsid w:val="002D7A6B"/>
    <w:rsid w:val="002E0E6D"/>
    <w:rsid w:val="002E118E"/>
    <w:rsid w:val="002F405E"/>
    <w:rsid w:val="002F5E7C"/>
    <w:rsid w:val="002F6D03"/>
    <w:rsid w:val="0030115A"/>
    <w:rsid w:val="00301F8E"/>
    <w:rsid w:val="0030227F"/>
    <w:rsid w:val="00304913"/>
    <w:rsid w:val="00306E20"/>
    <w:rsid w:val="00322CCA"/>
    <w:rsid w:val="0032505B"/>
    <w:rsid w:val="00325E35"/>
    <w:rsid w:val="003311FC"/>
    <w:rsid w:val="0033202B"/>
    <w:rsid w:val="0033469D"/>
    <w:rsid w:val="00335612"/>
    <w:rsid w:val="003356EF"/>
    <w:rsid w:val="00335E9C"/>
    <w:rsid w:val="00337AB8"/>
    <w:rsid w:val="003402CF"/>
    <w:rsid w:val="00340C97"/>
    <w:rsid w:val="003458AB"/>
    <w:rsid w:val="0035171D"/>
    <w:rsid w:val="00351AA8"/>
    <w:rsid w:val="00351DD9"/>
    <w:rsid w:val="00353677"/>
    <w:rsid w:val="00372F40"/>
    <w:rsid w:val="00375BBC"/>
    <w:rsid w:val="00375C20"/>
    <w:rsid w:val="003879DF"/>
    <w:rsid w:val="00391E7F"/>
    <w:rsid w:val="0039289D"/>
    <w:rsid w:val="00396A27"/>
    <w:rsid w:val="003A0303"/>
    <w:rsid w:val="003A6F8A"/>
    <w:rsid w:val="003A7741"/>
    <w:rsid w:val="003B08CC"/>
    <w:rsid w:val="003B2FF9"/>
    <w:rsid w:val="003B3A27"/>
    <w:rsid w:val="003B6759"/>
    <w:rsid w:val="003C1468"/>
    <w:rsid w:val="003C1806"/>
    <w:rsid w:val="003C31E3"/>
    <w:rsid w:val="003C5AD3"/>
    <w:rsid w:val="003D125E"/>
    <w:rsid w:val="003D17BF"/>
    <w:rsid w:val="003D23FC"/>
    <w:rsid w:val="003D428C"/>
    <w:rsid w:val="003D5DBF"/>
    <w:rsid w:val="003D5FCD"/>
    <w:rsid w:val="003D7B22"/>
    <w:rsid w:val="003E1648"/>
    <w:rsid w:val="003E46AF"/>
    <w:rsid w:val="003E46D2"/>
    <w:rsid w:val="003E6FBA"/>
    <w:rsid w:val="003E7FD0"/>
    <w:rsid w:val="003F316E"/>
    <w:rsid w:val="003F39C5"/>
    <w:rsid w:val="003F718E"/>
    <w:rsid w:val="004036C9"/>
    <w:rsid w:val="00404B1F"/>
    <w:rsid w:val="00405E18"/>
    <w:rsid w:val="00412814"/>
    <w:rsid w:val="004134F6"/>
    <w:rsid w:val="00414654"/>
    <w:rsid w:val="004152B3"/>
    <w:rsid w:val="004159C7"/>
    <w:rsid w:val="00420FF7"/>
    <w:rsid w:val="004309BE"/>
    <w:rsid w:val="00431FE0"/>
    <w:rsid w:val="00432F18"/>
    <w:rsid w:val="0044253C"/>
    <w:rsid w:val="00444C7F"/>
    <w:rsid w:val="00451D35"/>
    <w:rsid w:val="004543A5"/>
    <w:rsid w:val="00460462"/>
    <w:rsid w:val="00461A2F"/>
    <w:rsid w:val="00473307"/>
    <w:rsid w:val="00481236"/>
    <w:rsid w:val="00484C0D"/>
    <w:rsid w:val="004876CE"/>
    <w:rsid w:val="00487BBB"/>
    <w:rsid w:val="00493508"/>
    <w:rsid w:val="00493F54"/>
    <w:rsid w:val="00497203"/>
    <w:rsid w:val="00497D8B"/>
    <w:rsid w:val="004A0F7A"/>
    <w:rsid w:val="004A1198"/>
    <w:rsid w:val="004A2100"/>
    <w:rsid w:val="004A3828"/>
    <w:rsid w:val="004A3E37"/>
    <w:rsid w:val="004B1EAA"/>
    <w:rsid w:val="004B3B01"/>
    <w:rsid w:val="004C09C1"/>
    <w:rsid w:val="004C1FD4"/>
    <w:rsid w:val="004C700E"/>
    <w:rsid w:val="004C7DAA"/>
    <w:rsid w:val="004D41B8"/>
    <w:rsid w:val="004D4670"/>
    <w:rsid w:val="004D48D6"/>
    <w:rsid w:val="004E159F"/>
    <w:rsid w:val="004E1B8F"/>
    <w:rsid w:val="004F0A1B"/>
    <w:rsid w:val="004F19A4"/>
    <w:rsid w:val="004F2C18"/>
    <w:rsid w:val="0050027D"/>
    <w:rsid w:val="0050179A"/>
    <w:rsid w:val="0050622C"/>
    <w:rsid w:val="00506BA8"/>
    <w:rsid w:val="00506D96"/>
    <w:rsid w:val="00510305"/>
    <w:rsid w:val="0051506A"/>
    <w:rsid w:val="005173F4"/>
    <w:rsid w:val="00522632"/>
    <w:rsid w:val="00522ECA"/>
    <w:rsid w:val="0052465B"/>
    <w:rsid w:val="0052553F"/>
    <w:rsid w:val="005303D5"/>
    <w:rsid w:val="00534D61"/>
    <w:rsid w:val="00540418"/>
    <w:rsid w:val="00540D16"/>
    <w:rsid w:val="0054375F"/>
    <w:rsid w:val="00545293"/>
    <w:rsid w:val="00546D97"/>
    <w:rsid w:val="0054721D"/>
    <w:rsid w:val="00557E84"/>
    <w:rsid w:val="00561F07"/>
    <w:rsid w:val="005655B2"/>
    <w:rsid w:val="00565F69"/>
    <w:rsid w:val="0056677B"/>
    <w:rsid w:val="0057184F"/>
    <w:rsid w:val="00571D61"/>
    <w:rsid w:val="005732F9"/>
    <w:rsid w:val="00573688"/>
    <w:rsid w:val="0057608D"/>
    <w:rsid w:val="005774F0"/>
    <w:rsid w:val="0058129A"/>
    <w:rsid w:val="00591A08"/>
    <w:rsid w:val="00591EE2"/>
    <w:rsid w:val="00592B60"/>
    <w:rsid w:val="005A137F"/>
    <w:rsid w:val="005A213E"/>
    <w:rsid w:val="005A5009"/>
    <w:rsid w:val="005A5D7A"/>
    <w:rsid w:val="005A6BB2"/>
    <w:rsid w:val="005B0A17"/>
    <w:rsid w:val="005B24BE"/>
    <w:rsid w:val="005B2D52"/>
    <w:rsid w:val="005B2D86"/>
    <w:rsid w:val="005B3883"/>
    <w:rsid w:val="005B55E5"/>
    <w:rsid w:val="005B707C"/>
    <w:rsid w:val="005C0024"/>
    <w:rsid w:val="005C23BF"/>
    <w:rsid w:val="005C393F"/>
    <w:rsid w:val="005C6D47"/>
    <w:rsid w:val="005D07FF"/>
    <w:rsid w:val="005D5BB9"/>
    <w:rsid w:val="005D7484"/>
    <w:rsid w:val="005E0384"/>
    <w:rsid w:val="005E0712"/>
    <w:rsid w:val="005E5089"/>
    <w:rsid w:val="005E5C36"/>
    <w:rsid w:val="005E6911"/>
    <w:rsid w:val="005F2EBA"/>
    <w:rsid w:val="00600B90"/>
    <w:rsid w:val="00601334"/>
    <w:rsid w:val="0060319F"/>
    <w:rsid w:val="00605A98"/>
    <w:rsid w:val="00611825"/>
    <w:rsid w:val="00612AEC"/>
    <w:rsid w:val="006277CD"/>
    <w:rsid w:val="00627FA5"/>
    <w:rsid w:val="006319E8"/>
    <w:rsid w:val="006360E6"/>
    <w:rsid w:val="00637865"/>
    <w:rsid w:val="006430DD"/>
    <w:rsid w:val="006449B6"/>
    <w:rsid w:val="00644A06"/>
    <w:rsid w:val="00645794"/>
    <w:rsid w:val="00645B83"/>
    <w:rsid w:val="00652C13"/>
    <w:rsid w:val="00653D63"/>
    <w:rsid w:val="00655E50"/>
    <w:rsid w:val="00657867"/>
    <w:rsid w:val="0066657B"/>
    <w:rsid w:val="00670E42"/>
    <w:rsid w:val="00672643"/>
    <w:rsid w:val="00672861"/>
    <w:rsid w:val="006729F4"/>
    <w:rsid w:val="00677336"/>
    <w:rsid w:val="00686D70"/>
    <w:rsid w:val="00690D9F"/>
    <w:rsid w:val="00692681"/>
    <w:rsid w:val="00692CDF"/>
    <w:rsid w:val="006940C2"/>
    <w:rsid w:val="00696324"/>
    <w:rsid w:val="006A0498"/>
    <w:rsid w:val="006A30B4"/>
    <w:rsid w:val="006A350B"/>
    <w:rsid w:val="006A379B"/>
    <w:rsid w:val="006B0D0E"/>
    <w:rsid w:val="006B190B"/>
    <w:rsid w:val="006B1DBD"/>
    <w:rsid w:val="006B247B"/>
    <w:rsid w:val="006B2AC7"/>
    <w:rsid w:val="006C4132"/>
    <w:rsid w:val="006C47E2"/>
    <w:rsid w:val="006D36E3"/>
    <w:rsid w:val="006D39A1"/>
    <w:rsid w:val="006D41B9"/>
    <w:rsid w:val="006D4591"/>
    <w:rsid w:val="006D45C8"/>
    <w:rsid w:val="006D4CB1"/>
    <w:rsid w:val="006D57E6"/>
    <w:rsid w:val="006D7AFF"/>
    <w:rsid w:val="006E2C6F"/>
    <w:rsid w:val="006E4041"/>
    <w:rsid w:val="006E5364"/>
    <w:rsid w:val="006E77DD"/>
    <w:rsid w:val="006F0698"/>
    <w:rsid w:val="006F0E48"/>
    <w:rsid w:val="006F1A2B"/>
    <w:rsid w:val="006F2849"/>
    <w:rsid w:val="006F2F52"/>
    <w:rsid w:val="006F4061"/>
    <w:rsid w:val="006F4AFF"/>
    <w:rsid w:val="006F6FEB"/>
    <w:rsid w:val="007006CA"/>
    <w:rsid w:val="0070709C"/>
    <w:rsid w:val="007075A0"/>
    <w:rsid w:val="0071279D"/>
    <w:rsid w:val="00715717"/>
    <w:rsid w:val="00721651"/>
    <w:rsid w:val="007241F3"/>
    <w:rsid w:val="0072475D"/>
    <w:rsid w:val="00725F56"/>
    <w:rsid w:val="00726B85"/>
    <w:rsid w:val="00727422"/>
    <w:rsid w:val="007305F2"/>
    <w:rsid w:val="007331E4"/>
    <w:rsid w:val="00733A52"/>
    <w:rsid w:val="00735345"/>
    <w:rsid w:val="0073739D"/>
    <w:rsid w:val="007379A3"/>
    <w:rsid w:val="00742343"/>
    <w:rsid w:val="007460DF"/>
    <w:rsid w:val="00746BFE"/>
    <w:rsid w:val="0075136F"/>
    <w:rsid w:val="007570E8"/>
    <w:rsid w:val="007612DC"/>
    <w:rsid w:val="00761BBB"/>
    <w:rsid w:val="00763377"/>
    <w:rsid w:val="007645C8"/>
    <w:rsid w:val="007658CB"/>
    <w:rsid w:val="00767988"/>
    <w:rsid w:val="0077606B"/>
    <w:rsid w:val="00777B2D"/>
    <w:rsid w:val="007809B0"/>
    <w:rsid w:val="007818C6"/>
    <w:rsid w:val="0078392A"/>
    <w:rsid w:val="0078564E"/>
    <w:rsid w:val="00791481"/>
    <w:rsid w:val="0079582C"/>
    <w:rsid w:val="007A0CBA"/>
    <w:rsid w:val="007A5B39"/>
    <w:rsid w:val="007B3306"/>
    <w:rsid w:val="007B77BA"/>
    <w:rsid w:val="007C1939"/>
    <w:rsid w:val="007C44DB"/>
    <w:rsid w:val="007C7982"/>
    <w:rsid w:val="007D2375"/>
    <w:rsid w:val="007D31BF"/>
    <w:rsid w:val="007D31C8"/>
    <w:rsid w:val="007D440F"/>
    <w:rsid w:val="007D4DD1"/>
    <w:rsid w:val="007D50C4"/>
    <w:rsid w:val="007D6912"/>
    <w:rsid w:val="007D6E9A"/>
    <w:rsid w:val="007E2C90"/>
    <w:rsid w:val="007E4A53"/>
    <w:rsid w:val="007E7EA2"/>
    <w:rsid w:val="007F08FA"/>
    <w:rsid w:val="007F22C2"/>
    <w:rsid w:val="007F2682"/>
    <w:rsid w:val="007F4E17"/>
    <w:rsid w:val="00807485"/>
    <w:rsid w:val="00811DAC"/>
    <w:rsid w:val="00820190"/>
    <w:rsid w:val="00824479"/>
    <w:rsid w:val="008256B2"/>
    <w:rsid w:val="00831463"/>
    <w:rsid w:val="00834657"/>
    <w:rsid w:val="00835005"/>
    <w:rsid w:val="0083615E"/>
    <w:rsid w:val="0083675B"/>
    <w:rsid w:val="008368FB"/>
    <w:rsid w:val="00837703"/>
    <w:rsid w:val="00837B92"/>
    <w:rsid w:val="00840317"/>
    <w:rsid w:val="008460FA"/>
    <w:rsid w:val="00847907"/>
    <w:rsid w:val="00847B0D"/>
    <w:rsid w:val="00852103"/>
    <w:rsid w:val="008526D7"/>
    <w:rsid w:val="00853095"/>
    <w:rsid w:val="008545F4"/>
    <w:rsid w:val="00855A8A"/>
    <w:rsid w:val="0085677D"/>
    <w:rsid w:val="00856833"/>
    <w:rsid w:val="00857854"/>
    <w:rsid w:val="00862A0D"/>
    <w:rsid w:val="008640C6"/>
    <w:rsid w:val="008647F6"/>
    <w:rsid w:val="008654C9"/>
    <w:rsid w:val="00865539"/>
    <w:rsid w:val="00870938"/>
    <w:rsid w:val="00872931"/>
    <w:rsid w:val="008758B1"/>
    <w:rsid w:val="00876FA6"/>
    <w:rsid w:val="008775D4"/>
    <w:rsid w:val="00884C70"/>
    <w:rsid w:val="00886FEA"/>
    <w:rsid w:val="00890055"/>
    <w:rsid w:val="008916C3"/>
    <w:rsid w:val="008932D7"/>
    <w:rsid w:val="008935FC"/>
    <w:rsid w:val="008A120B"/>
    <w:rsid w:val="008A46DF"/>
    <w:rsid w:val="008A6E4D"/>
    <w:rsid w:val="008A6FF6"/>
    <w:rsid w:val="008A76F4"/>
    <w:rsid w:val="008A7FEA"/>
    <w:rsid w:val="008B0017"/>
    <w:rsid w:val="008B2F4F"/>
    <w:rsid w:val="008B3251"/>
    <w:rsid w:val="008B41CF"/>
    <w:rsid w:val="008B45E3"/>
    <w:rsid w:val="008B5F26"/>
    <w:rsid w:val="008B63D6"/>
    <w:rsid w:val="008C2C44"/>
    <w:rsid w:val="008C4A68"/>
    <w:rsid w:val="008C55A6"/>
    <w:rsid w:val="008C6D0F"/>
    <w:rsid w:val="008C7906"/>
    <w:rsid w:val="008D1C43"/>
    <w:rsid w:val="008D559B"/>
    <w:rsid w:val="008E3652"/>
    <w:rsid w:val="008F3C81"/>
    <w:rsid w:val="008F6D58"/>
    <w:rsid w:val="00901BF0"/>
    <w:rsid w:val="00910AF6"/>
    <w:rsid w:val="00912F6F"/>
    <w:rsid w:val="00914596"/>
    <w:rsid w:val="00921508"/>
    <w:rsid w:val="00925861"/>
    <w:rsid w:val="00933459"/>
    <w:rsid w:val="00935790"/>
    <w:rsid w:val="00936A2E"/>
    <w:rsid w:val="009376D8"/>
    <w:rsid w:val="00937CE6"/>
    <w:rsid w:val="00937ECC"/>
    <w:rsid w:val="00957DBC"/>
    <w:rsid w:val="00960A9B"/>
    <w:rsid w:val="00964AD4"/>
    <w:rsid w:val="00967410"/>
    <w:rsid w:val="0097165D"/>
    <w:rsid w:val="00971C74"/>
    <w:rsid w:val="00973D6D"/>
    <w:rsid w:val="009801D7"/>
    <w:rsid w:val="00982D8E"/>
    <w:rsid w:val="009915EB"/>
    <w:rsid w:val="0099293B"/>
    <w:rsid w:val="00993732"/>
    <w:rsid w:val="00994738"/>
    <w:rsid w:val="00994BCE"/>
    <w:rsid w:val="00995756"/>
    <w:rsid w:val="0099635B"/>
    <w:rsid w:val="009A0783"/>
    <w:rsid w:val="009A2FEE"/>
    <w:rsid w:val="009A5D0E"/>
    <w:rsid w:val="009B3615"/>
    <w:rsid w:val="009B59FD"/>
    <w:rsid w:val="009B6561"/>
    <w:rsid w:val="009B7FAD"/>
    <w:rsid w:val="009C0664"/>
    <w:rsid w:val="009C2472"/>
    <w:rsid w:val="009C4498"/>
    <w:rsid w:val="009C5C3A"/>
    <w:rsid w:val="009D2A83"/>
    <w:rsid w:val="009D4E39"/>
    <w:rsid w:val="009D567B"/>
    <w:rsid w:val="009E204B"/>
    <w:rsid w:val="009E48B0"/>
    <w:rsid w:val="009F28ED"/>
    <w:rsid w:val="009F2BE5"/>
    <w:rsid w:val="009F35D3"/>
    <w:rsid w:val="009F49D4"/>
    <w:rsid w:val="009F5216"/>
    <w:rsid w:val="009F70C7"/>
    <w:rsid w:val="00A01638"/>
    <w:rsid w:val="00A03E10"/>
    <w:rsid w:val="00A03F0F"/>
    <w:rsid w:val="00A045C6"/>
    <w:rsid w:val="00A10572"/>
    <w:rsid w:val="00A1120A"/>
    <w:rsid w:val="00A1465A"/>
    <w:rsid w:val="00A14CE2"/>
    <w:rsid w:val="00A170E7"/>
    <w:rsid w:val="00A23FDA"/>
    <w:rsid w:val="00A27D39"/>
    <w:rsid w:val="00A306AF"/>
    <w:rsid w:val="00A308E9"/>
    <w:rsid w:val="00A31ABB"/>
    <w:rsid w:val="00A35095"/>
    <w:rsid w:val="00A37B69"/>
    <w:rsid w:val="00A40531"/>
    <w:rsid w:val="00A4506D"/>
    <w:rsid w:val="00A46C11"/>
    <w:rsid w:val="00A516E6"/>
    <w:rsid w:val="00A52699"/>
    <w:rsid w:val="00A54433"/>
    <w:rsid w:val="00A57F8F"/>
    <w:rsid w:val="00A65BF9"/>
    <w:rsid w:val="00A705FE"/>
    <w:rsid w:val="00A70E38"/>
    <w:rsid w:val="00A7288E"/>
    <w:rsid w:val="00A738F5"/>
    <w:rsid w:val="00A74F12"/>
    <w:rsid w:val="00A752B2"/>
    <w:rsid w:val="00A76BB6"/>
    <w:rsid w:val="00A77756"/>
    <w:rsid w:val="00A80354"/>
    <w:rsid w:val="00A81AA0"/>
    <w:rsid w:val="00A822F1"/>
    <w:rsid w:val="00A838DF"/>
    <w:rsid w:val="00A84197"/>
    <w:rsid w:val="00A8527A"/>
    <w:rsid w:val="00A97DA2"/>
    <w:rsid w:val="00AA32C6"/>
    <w:rsid w:val="00AA39D8"/>
    <w:rsid w:val="00AA79AD"/>
    <w:rsid w:val="00AB0A33"/>
    <w:rsid w:val="00AB261D"/>
    <w:rsid w:val="00AD4A56"/>
    <w:rsid w:val="00AD6B30"/>
    <w:rsid w:val="00AD7039"/>
    <w:rsid w:val="00AE042E"/>
    <w:rsid w:val="00AE1391"/>
    <w:rsid w:val="00AE42BB"/>
    <w:rsid w:val="00AE608D"/>
    <w:rsid w:val="00AE777E"/>
    <w:rsid w:val="00AE7C28"/>
    <w:rsid w:val="00AF05E8"/>
    <w:rsid w:val="00AF1340"/>
    <w:rsid w:val="00AF2F48"/>
    <w:rsid w:val="00AF2F8E"/>
    <w:rsid w:val="00AF3835"/>
    <w:rsid w:val="00AF4657"/>
    <w:rsid w:val="00AF50E1"/>
    <w:rsid w:val="00AF7996"/>
    <w:rsid w:val="00B00295"/>
    <w:rsid w:val="00B009FA"/>
    <w:rsid w:val="00B030D5"/>
    <w:rsid w:val="00B03DA7"/>
    <w:rsid w:val="00B048E6"/>
    <w:rsid w:val="00B10695"/>
    <w:rsid w:val="00B171EB"/>
    <w:rsid w:val="00B21BD4"/>
    <w:rsid w:val="00B26248"/>
    <w:rsid w:val="00B3091B"/>
    <w:rsid w:val="00B3372A"/>
    <w:rsid w:val="00B35846"/>
    <w:rsid w:val="00B35EF3"/>
    <w:rsid w:val="00B364CF"/>
    <w:rsid w:val="00B368BA"/>
    <w:rsid w:val="00B3695E"/>
    <w:rsid w:val="00B36D21"/>
    <w:rsid w:val="00B37112"/>
    <w:rsid w:val="00B51ADA"/>
    <w:rsid w:val="00B61ADE"/>
    <w:rsid w:val="00B64DC7"/>
    <w:rsid w:val="00B65387"/>
    <w:rsid w:val="00B6646C"/>
    <w:rsid w:val="00B7195D"/>
    <w:rsid w:val="00B73DF3"/>
    <w:rsid w:val="00B74834"/>
    <w:rsid w:val="00B827FC"/>
    <w:rsid w:val="00B82D9A"/>
    <w:rsid w:val="00B849EE"/>
    <w:rsid w:val="00B86AF6"/>
    <w:rsid w:val="00B92C53"/>
    <w:rsid w:val="00B96A1C"/>
    <w:rsid w:val="00BA0FDB"/>
    <w:rsid w:val="00BA1F9B"/>
    <w:rsid w:val="00BA2940"/>
    <w:rsid w:val="00BA2DFA"/>
    <w:rsid w:val="00BA648B"/>
    <w:rsid w:val="00BA6A03"/>
    <w:rsid w:val="00BB0BEF"/>
    <w:rsid w:val="00BB2FDB"/>
    <w:rsid w:val="00BB570D"/>
    <w:rsid w:val="00BB7E50"/>
    <w:rsid w:val="00BC44EC"/>
    <w:rsid w:val="00BD22C3"/>
    <w:rsid w:val="00BD394C"/>
    <w:rsid w:val="00BD4EEE"/>
    <w:rsid w:val="00BD6292"/>
    <w:rsid w:val="00BD7096"/>
    <w:rsid w:val="00BE0B27"/>
    <w:rsid w:val="00BE3E52"/>
    <w:rsid w:val="00BE475A"/>
    <w:rsid w:val="00BE6581"/>
    <w:rsid w:val="00BF1B93"/>
    <w:rsid w:val="00BF2424"/>
    <w:rsid w:val="00BF564E"/>
    <w:rsid w:val="00C00022"/>
    <w:rsid w:val="00C00B91"/>
    <w:rsid w:val="00C01B40"/>
    <w:rsid w:val="00C07D59"/>
    <w:rsid w:val="00C11164"/>
    <w:rsid w:val="00C166CD"/>
    <w:rsid w:val="00C22969"/>
    <w:rsid w:val="00C235CB"/>
    <w:rsid w:val="00C23E45"/>
    <w:rsid w:val="00C24E4A"/>
    <w:rsid w:val="00C2567A"/>
    <w:rsid w:val="00C31AB5"/>
    <w:rsid w:val="00C32D71"/>
    <w:rsid w:val="00C3752B"/>
    <w:rsid w:val="00C375CA"/>
    <w:rsid w:val="00C37868"/>
    <w:rsid w:val="00C427EB"/>
    <w:rsid w:val="00C42BB1"/>
    <w:rsid w:val="00C456F2"/>
    <w:rsid w:val="00C46FC3"/>
    <w:rsid w:val="00C5604D"/>
    <w:rsid w:val="00C6037C"/>
    <w:rsid w:val="00C63CE4"/>
    <w:rsid w:val="00C70BD8"/>
    <w:rsid w:val="00C741AC"/>
    <w:rsid w:val="00C76F2C"/>
    <w:rsid w:val="00C7736C"/>
    <w:rsid w:val="00C77EF9"/>
    <w:rsid w:val="00C80663"/>
    <w:rsid w:val="00C80DE1"/>
    <w:rsid w:val="00C824EB"/>
    <w:rsid w:val="00C82536"/>
    <w:rsid w:val="00C8299A"/>
    <w:rsid w:val="00C841DD"/>
    <w:rsid w:val="00C84C95"/>
    <w:rsid w:val="00C87AA4"/>
    <w:rsid w:val="00C91212"/>
    <w:rsid w:val="00C9576F"/>
    <w:rsid w:val="00C9777A"/>
    <w:rsid w:val="00CA07D4"/>
    <w:rsid w:val="00CB0262"/>
    <w:rsid w:val="00CB307C"/>
    <w:rsid w:val="00CB448D"/>
    <w:rsid w:val="00CB5244"/>
    <w:rsid w:val="00CB6E1C"/>
    <w:rsid w:val="00CB7C0D"/>
    <w:rsid w:val="00CC0399"/>
    <w:rsid w:val="00CC1111"/>
    <w:rsid w:val="00CC1DC7"/>
    <w:rsid w:val="00CC2371"/>
    <w:rsid w:val="00CC2516"/>
    <w:rsid w:val="00CC76C6"/>
    <w:rsid w:val="00CD0037"/>
    <w:rsid w:val="00CD0499"/>
    <w:rsid w:val="00CD0CDB"/>
    <w:rsid w:val="00CD18B0"/>
    <w:rsid w:val="00CD2644"/>
    <w:rsid w:val="00CD763A"/>
    <w:rsid w:val="00CE18E9"/>
    <w:rsid w:val="00CE33E9"/>
    <w:rsid w:val="00CE4D94"/>
    <w:rsid w:val="00CF07B2"/>
    <w:rsid w:val="00CF09E8"/>
    <w:rsid w:val="00CF25EA"/>
    <w:rsid w:val="00D0206A"/>
    <w:rsid w:val="00D055EC"/>
    <w:rsid w:val="00D07CC7"/>
    <w:rsid w:val="00D10127"/>
    <w:rsid w:val="00D10273"/>
    <w:rsid w:val="00D104D8"/>
    <w:rsid w:val="00D17E75"/>
    <w:rsid w:val="00D20277"/>
    <w:rsid w:val="00D20501"/>
    <w:rsid w:val="00D224F9"/>
    <w:rsid w:val="00D27C80"/>
    <w:rsid w:val="00D3337C"/>
    <w:rsid w:val="00D33645"/>
    <w:rsid w:val="00D33FB6"/>
    <w:rsid w:val="00D412AA"/>
    <w:rsid w:val="00D45102"/>
    <w:rsid w:val="00D46417"/>
    <w:rsid w:val="00D5488A"/>
    <w:rsid w:val="00D54F84"/>
    <w:rsid w:val="00D555C8"/>
    <w:rsid w:val="00D55711"/>
    <w:rsid w:val="00D64519"/>
    <w:rsid w:val="00D67019"/>
    <w:rsid w:val="00D673BE"/>
    <w:rsid w:val="00D72BB6"/>
    <w:rsid w:val="00D77670"/>
    <w:rsid w:val="00D77AF7"/>
    <w:rsid w:val="00D77E53"/>
    <w:rsid w:val="00D77EF2"/>
    <w:rsid w:val="00D804CD"/>
    <w:rsid w:val="00D846EF"/>
    <w:rsid w:val="00D8598C"/>
    <w:rsid w:val="00D85F71"/>
    <w:rsid w:val="00D87FDA"/>
    <w:rsid w:val="00D9138F"/>
    <w:rsid w:val="00D937F3"/>
    <w:rsid w:val="00DA36CB"/>
    <w:rsid w:val="00DA629F"/>
    <w:rsid w:val="00DB06ED"/>
    <w:rsid w:val="00DB13FC"/>
    <w:rsid w:val="00DB1A77"/>
    <w:rsid w:val="00DB4292"/>
    <w:rsid w:val="00DB42B2"/>
    <w:rsid w:val="00DB593E"/>
    <w:rsid w:val="00DC3589"/>
    <w:rsid w:val="00DC459C"/>
    <w:rsid w:val="00DC53C5"/>
    <w:rsid w:val="00DD0515"/>
    <w:rsid w:val="00DD5E6E"/>
    <w:rsid w:val="00DE020D"/>
    <w:rsid w:val="00DE0B18"/>
    <w:rsid w:val="00DE4602"/>
    <w:rsid w:val="00DE58ED"/>
    <w:rsid w:val="00DE64DA"/>
    <w:rsid w:val="00DF03BA"/>
    <w:rsid w:val="00DF166B"/>
    <w:rsid w:val="00DF29F6"/>
    <w:rsid w:val="00DF2C55"/>
    <w:rsid w:val="00DF436A"/>
    <w:rsid w:val="00E01D94"/>
    <w:rsid w:val="00E020BE"/>
    <w:rsid w:val="00E0390E"/>
    <w:rsid w:val="00E03CD8"/>
    <w:rsid w:val="00E03E08"/>
    <w:rsid w:val="00E06CCA"/>
    <w:rsid w:val="00E07C35"/>
    <w:rsid w:val="00E10181"/>
    <w:rsid w:val="00E1192E"/>
    <w:rsid w:val="00E13883"/>
    <w:rsid w:val="00E13CFC"/>
    <w:rsid w:val="00E1585A"/>
    <w:rsid w:val="00E22936"/>
    <w:rsid w:val="00E22FE3"/>
    <w:rsid w:val="00E25CB8"/>
    <w:rsid w:val="00E27328"/>
    <w:rsid w:val="00E32612"/>
    <w:rsid w:val="00E32708"/>
    <w:rsid w:val="00E352E0"/>
    <w:rsid w:val="00E529D0"/>
    <w:rsid w:val="00E53DBE"/>
    <w:rsid w:val="00E546A6"/>
    <w:rsid w:val="00E63627"/>
    <w:rsid w:val="00E65E25"/>
    <w:rsid w:val="00E6779D"/>
    <w:rsid w:val="00E71540"/>
    <w:rsid w:val="00E74E9B"/>
    <w:rsid w:val="00E75E3C"/>
    <w:rsid w:val="00E75F25"/>
    <w:rsid w:val="00E81396"/>
    <w:rsid w:val="00E81C2E"/>
    <w:rsid w:val="00E86DE0"/>
    <w:rsid w:val="00E90349"/>
    <w:rsid w:val="00E9152E"/>
    <w:rsid w:val="00E927C1"/>
    <w:rsid w:val="00E95AB2"/>
    <w:rsid w:val="00EA5418"/>
    <w:rsid w:val="00EB070B"/>
    <w:rsid w:val="00EB26B0"/>
    <w:rsid w:val="00EB2BC3"/>
    <w:rsid w:val="00EB37D6"/>
    <w:rsid w:val="00EB4758"/>
    <w:rsid w:val="00EB55E5"/>
    <w:rsid w:val="00EB6F69"/>
    <w:rsid w:val="00EC00AA"/>
    <w:rsid w:val="00EC4F58"/>
    <w:rsid w:val="00EC7061"/>
    <w:rsid w:val="00ED04DF"/>
    <w:rsid w:val="00ED118F"/>
    <w:rsid w:val="00ED25DE"/>
    <w:rsid w:val="00ED2634"/>
    <w:rsid w:val="00ED3291"/>
    <w:rsid w:val="00EE6ED5"/>
    <w:rsid w:val="00EF1BD7"/>
    <w:rsid w:val="00EF2D81"/>
    <w:rsid w:val="00EF7438"/>
    <w:rsid w:val="00F0216E"/>
    <w:rsid w:val="00F07E38"/>
    <w:rsid w:val="00F14417"/>
    <w:rsid w:val="00F15476"/>
    <w:rsid w:val="00F166D5"/>
    <w:rsid w:val="00F17617"/>
    <w:rsid w:val="00F212CF"/>
    <w:rsid w:val="00F26617"/>
    <w:rsid w:val="00F26EAA"/>
    <w:rsid w:val="00F33659"/>
    <w:rsid w:val="00F36B42"/>
    <w:rsid w:val="00F4120D"/>
    <w:rsid w:val="00F42DA7"/>
    <w:rsid w:val="00F45C83"/>
    <w:rsid w:val="00F4664C"/>
    <w:rsid w:val="00F508B3"/>
    <w:rsid w:val="00F51CE9"/>
    <w:rsid w:val="00F5524A"/>
    <w:rsid w:val="00F60F46"/>
    <w:rsid w:val="00F611F8"/>
    <w:rsid w:val="00F63220"/>
    <w:rsid w:val="00F66C46"/>
    <w:rsid w:val="00F679DF"/>
    <w:rsid w:val="00F67F0A"/>
    <w:rsid w:val="00F717D9"/>
    <w:rsid w:val="00F7251F"/>
    <w:rsid w:val="00F73619"/>
    <w:rsid w:val="00F7620E"/>
    <w:rsid w:val="00F806CA"/>
    <w:rsid w:val="00F8257E"/>
    <w:rsid w:val="00F84C5C"/>
    <w:rsid w:val="00F85A4D"/>
    <w:rsid w:val="00F85E26"/>
    <w:rsid w:val="00F91435"/>
    <w:rsid w:val="00F91B63"/>
    <w:rsid w:val="00F95344"/>
    <w:rsid w:val="00FA300C"/>
    <w:rsid w:val="00FA3111"/>
    <w:rsid w:val="00FA47CA"/>
    <w:rsid w:val="00FB1010"/>
    <w:rsid w:val="00FB3352"/>
    <w:rsid w:val="00FB37A5"/>
    <w:rsid w:val="00FB3C11"/>
    <w:rsid w:val="00FB4A01"/>
    <w:rsid w:val="00FB4E03"/>
    <w:rsid w:val="00FC149D"/>
    <w:rsid w:val="00FC229B"/>
    <w:rsid w:val="00FC4979"/>
    <w:rsid w:val="00FD2B3A"/>
    <w:rsid w:val="00FD2E61"/>
    <w:rsid w:val="00FD3B2B"/>
    <w:rsid w:val="00FD3E6F"/>
    <w:rsid w:val="00FD4E14"/>
    <w:rsid w:val="00FD5AFC"/>
    <w:rsid w:val="00FD6239"/>
    <w:rsid w:val="00FD6BB3"/>
    <w:rsid w:val="00FE214E"/>
    <w:rsid w:val="00FE4A87"/>
    <w:rsid w:val="00FE51F8"/>
    <w:rsid w:val="00FF2812"/>
    <w:rsid w:val="00FF53EE"/>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EFA46951294564F8B3490D3C51D7F07" ma:contentTypeVersion="0" ma:contentTypeDescription="Crear nuevo documento." ma:contentTypeScope="" ma:versionID="dccb72597f51ad644a3899f494dffc2d">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6SWUVP667SVA-1951296968-181</_dlc_DocId>
    <_dlc_DocIdUrl xmlns="87937d6b-f987-4ab3-9d7b-386aa551189b">
      <Url>https://www.uat.edu.mx/SF/LGCG/_layouts/15/DocIdRedir.aspx?ID=6SWUVP667SVA-1951296968-181</Url>
      <Description>6SWUVP667SVA-1951296968-181</Description>
    </_dlc_DocIdUrl>
  </documentManagement>
</p:properties>
</file>

<file path=customXml/itemProps1.xml><?xml version="1.0" encoding="utf-8"?>
<ds:datastoreItem xmlns:ds="http://schemas.openxmlformats.org/officeDocument/2006/customXml" ds:itemID="{6D8F5317-F278-4AB7-A6ED-166C2BAAE1D4}">
  <ds:schemaRefs>
    <ds:schemaRef ds:uri="http://schemas.openxmlformats.org/officeDocument/2006/bibliography"/>
  </ds:schemaRefs>
</ds:datastoreItem>
</file>

<file path=customXml/itemProps2.xml><?xml version="1.0" encoding="utf-8"?>
<ds:datastoreItem xmlns:ds="http://schemas.openxmlformats.org/officeDocument/2006/customXml" ds:itemID="{15AA0D05-22CB-4861-B01A-2A30E3CE56C8}"/>
</file>

<file path=customXml/itemProps3.xml><?xml version="1.0" encoding="utf-8"?>
<ds:datastoreItem xmlns:ds="http://schemas.openxmlformats.org/officeDocument/2006/customXml" ds:itemID="{D66AA460-C749-4A1A-AAF1-81854D941186}"/>
</file>

<file path=customXml/itemProps4.xml><?xml version="1.0" encoding="utf-8"?>
<ds:datastoreItem xmlns:ds="http://schemas.openxmlformats.org/officeDocument/2006/customXml" ds:itemID="{DDB4E5E6-B2B8-4010-8C32-818B244ACC85}"/>
</file>

<file path=customXml/itemProps5.xml><?xml version="1.0" encoding="utf-8"?>
<ds:datastoreItem xmlns:ds="http://schemas.openxmlformats.org/officeDocument/2006/customXml" ds:itemID="{308E6B5E-81BC-482F-B1EB-BB9536B3E567}"/>
</file>

<file path=docProps/app.xml><?xml version="1.0" encoding="utf-8"?>
<Properties xmlns="http://schemas.openxmlformats.org/officeDocument/2006/extended-properties" xmlns:vt="http://schemas.openxmlformats.org/officeDocument/2006/docPropsVTypes">
  <Template>Normal</Template>
  <TotalTime>5</TotalTime>
  <Pages>22</Pages>
  <Words>6007</Words>
  <Characters>33041</Characters>
  <Application>Microsoft Office Word</Application>
  <DocSecurity>4</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Cárdenas Urbano Mildred</cp:lastModifiedBy>
  <cp:revision>2</cp:revision>
  <cp:lastPrinted>2023-10-17T23:05:00Z</cp:lastPrinted>
  <dcterms:created xsi:type="dcterms:W3CDTF">2024-01-19T19:56:00Z</dcterms:created>
  <dcterms:modified xsi:type="dcterms:W3CDTF">2024-01-19T19:56:00Z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0x0101005EFA46951294564F8B3490D3C51D7F07</vt:lpwstr>
  </property>
  <property fmtid="{D5CDD505-2E9C-101B-9397-08002B2CF9AE}" pid="3" name="_dlc_DocIdItemGuid">
    <vt:lpwstr>f228e20a-d920-45df-86b2-57ed316cc042</vt:lpwstr>
  </property>
</Properties>
</file>